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012DEF" w:rsidRDefault="002F6F8A" w:rsidP="002078D4">
      <w:pPr>
        <w:pBdr>
          <w:bottom w:val="single" w:sz="6" w:space="1" w:color="auto"/>
        </w:pBdr>
        <w:spacing w:after="120"/>
        <w:jc w:val="center"/>
        <w:rPr>
          <w:rFonts w:ascii="Arial" w:hAnsi="Arial" w:cs="Arial"/>
          <w:b/>
          <w:color w:val="0070C0"/>
          <w:sz w:val="28"/>
          <w:szCs w:val="28"/>
        </w:rPr>
      </w:pPr>
      <w:r w:rsidRPr="00012DEF">
        <w:rPr>
          <w:rFonts w:ascii="Arial" w:hAnsi="Arial" w:cs="Arial"/>
          <w:b/>
          <w:color w:val="0070C0"/>
          <w:sz w:val="28"/>
          <w:szCs w:val="28"/>
        </w:rPr>
        <w:t>Stanovisko Rady pro výzkum, vývoj a inovace k </w:t>
      </w:r>
      <w:r w:rsidR="002078D4" w:rsidRPr="00012DEF">
        <w:rPr>
          <w:rFonts w:ascii="Arial" w:hAnsi="Arial" w:cs="Arial"/>
          <w:b/>
          <w:color w:val="0070C0"/>
          <w:sz w:val="28"/>
          <w:szCs w:val="28"/>
        </w:rPr>
        <w:t xml:space="preserve"> materiálu „Návrhy velkých infrastruktur ke schválení poskytování účelové podpory do roku 2022“</w:t>
      </w:r>
    </w:p>
    <w:p w:rsidR="002F6F8A" w:rsidRPr="00012DEF" w:rsidRDefault="001D724F" w:rsidP="00BF4656">
      <w:pPr>
        <w:pStyle w:val="Odstavecseseznamem"/>
        <w:numPr>
          <w:ilvl w:val="0"/>
          <w:numId w:val="1"/>
        </w:numPr>
        <w:spacing w:after="120"/>
        <w:jc w:val="both"/>
        <w:rPr>
          <w:rFonts w:ascii="Arial" w:hAnsi="Arial" w:cs="Arial"/>
          <w:b/>
          <w:color w:val="0070C0"/>
        </w:rPr>
      </w:pPr>
      <w:r w:rsidRPr="00012DEF">
        <w:rPr>
          <w:rFonts w:ascii="Arial" w:hAnsi="Arial" w:cs="Arial"/>
          <w:b/>
          <w:color w:val="0070C0"/>
        </w:rPr>
        <w:t xml:space="preserve">Způsob </w:t>
      </w:r>
      <w:r w:rsidR="00C31178" w:rsidRPr="00012DEF">
        <w:rPr>
          <w:rFonts w:ascii="Arial" w:hAnsi="Arial" w:cs="Arial"/>
          <w:b/>
          <w:color w:val="0070C0"/>
        </w:rPr>
        <w:t xml:space="preserve">předložení </w:t>
      </w:r>
      <w:r w:rsidRPr="00012DEF">
        <w:rPr>
          <w:rFonts w:ascii="Arial" w:hAnsi="Arial" w:cs="Arial"/>
          <w:b/>
          <w:color w:val="0070C0"/>
        </w:rPr>
        <w:t>návrhu</w:t>
      </w:r>
    </w:p>
    <w:p w:rsidR="002078D4" w:rsidRPr="00012DEF" w:rsidRDefault="002078D4" w:rsidP="002078D4">
      <w:pPr>
        <w:spacing w:after="120"/>
        <w:jc w:val="both"/>
        <w:rPr>
          <w:rFonts w:ascii="Arial" w:hAnsi="Arial" w:cs="Arial"/>
        </w:rPr>
      </w:pPr>
      <w:r w:rsidRPr="00012DEF">
        <w:rPr>
          <w:rFonts w:ascii="Arial" w:hAnsi="Arial" w:cs="Arial"/>
        </w:rPr>
        <w:t>Dne 9. října 2018 zaslal náměstek ministra školství</w:t>
      </w:r>
      <w:r w:rsidR="00760845">
        <w:rPr>
          <w:rFonts w:ascii="Arial" w:hAnsi="Arial" w:cs="Arial"/>
        </w:rPr>
        <w:t>,</w:t>
      </w:r>
      <w:r w:rsidRPr="00012DEF">
        <w:rPr>
          <w:rFonts w:ascii="Arial" w:hAnsi="Arial" w:cs="Arial"/>
        </w:rPr>
        <w:t xml:space="preserve"> mládeže a tělovýchovy Pavel Doleček dopisem čj. MSMT-27142/2018-3 Radě pro výzkum, vývoj a inovace (dále Rada) k projednání materiál s názvem „Návrhy velkých výzkumných infrastruktur ke</w:t>
      </w:r>
      <w:r w:rsidR="00E242A5">
        <w:rPr>
          <w:rFonts w:ascii="Arial" w:hAnsi="Arial" w:cs="Arial"/>
        </w:rPr>
        <w:t> </w:t>
      </w:r>
      <w:r w:rsidRPr="00012DEF">
        <w:rPr>
          <w:rFonts w:ascii="Arial" w:hAnsi="Arial" w:cs="Arial"/>
        </w:rPr>
        <w:t xml:space="preserve">schválení poskytování účelové podpory do roku 2022“ (dále Materiál).  </w:t>
      </w:r>
    </w:p>
    <w:p w:rsidR="002078D4" w:rsidRPr="00012DEF" w:rsidRDefault="002078D4" w:rsidP="002078D4">
      <w:pPr>
        <w:spacing w:after="120"/>
        <w:jc w:val="both"/>
        <w:rPr>
          <w:rFonts w:ascii="Arial" w:hAnsi="Arial" w:cs="Arial"/>
        </w:rPr>
      </w:pPr>
      <w:r w:rsidRPr="00012DEF">
        <w:rPr>
          <w:rFonts w:ascii="Arial" w:hAnsi="Arial" w:cs="Arial"/>
        </w:rPr>
        <w:t xml:space="preserve">Materiál </w:t>
      </w:r>
      <w:r w:rsidR="0041453C">
        <w:rPr>
          <w:rFonts w:ascii="Arial" w:hAnsi="Arial" w:cs="Arial"/>
        </w:rPr>
        <w:t>byl předložen</w:t>
      </w:r>
      <w:r w:rsidRPr="00012DEF">
        <w:rPr>
          <w:rFonts w:ascii="Arial" w:hAnsi="Arial" w:cs="Arial"/>
        </w:rPr>
        <w:t xml:space="preserve"> k projednání Radě v souladu s ust. § 7 odst. 5 zák. č.</w:t>
      </w:r>
      <w:r w:rsidR="00E242A5">
        <w:rPr>
          <w:rFonts w:ascii="Arial" w:hAnsi="Arial" w:cs="Arial"/>
        </w:rPr>
        <w:t> </w:t>
      </w:r>
      <w:r w:rsidRPr="00012DEF">
        <w:rPr>
          <w:rFonts w:ascii="Arial" w:hAnsi="Arial" w:cs="Arial"/>
        </w:rPr>
        <w:t>130/2002 Sb., a návazně na bod A</w:t>
      </w:r>
      <w:r w:rsidR="00171680">
        <w:rPr>
          <w:rFonts w:ascii="Arial" w:hAnsi="Arial" w:cs="Arial"/>
        </w:rPr>
        <w:t>1</w:t>
      </w:r>
      <w:r w:rsidRPr="00012DEF">
        <w:rPr>
          <w:rFonts w:ascii="Arial" w:hAnsi="Arial" w:cs="Arial"/>
        </w:rPr>
        <w:t xml:space="preserve"> mimořádného zasedání Rady ze dne </w:t>
      </w:r>
      <w:r w:rsidR="00760845">
        <w:rPr>
          <w:rFonts w:ascii="Arial" w:hAnsi="Arial" w:cs="Arial"/>
        </w:rPr>
        <w:br/>
      </w:r>
      <w:r w:rsidRPr="00012DEF">
        <w:rPr>
          <w:rFonts w:ascii="Arial" w:hAnsi="Arial" w:cs="Arial"/>
        </w:rPr>
        <w:t>7. 9. 2018. Po projednání na zasedání Rady bude Materiál zaslán společně s tímto stanoviskem do mezirezortního připomínkového řízení a následně předložen ke</w:t>
      </w:r>
      <w:r w:rsidR="00E242A5">
        <w:rPr>
          <w:rFonts w:ascii="Arial" w:hAnsi="Arial" w:cs="Arial"/>
        </w:rPr>
        <w:t> </w:t>
      </w:r>
      <w:r w:rsidRPr="00012DEF">
        <w:rPr>
          <w:rFonts w:ascii="Arial" w:hAnsi="Arial" w:cs="Arial"/>
        </w:rPr>
        <w:t xml:space="preserve">schválení vládou ČR. </w:t>
      </w:r>
    </w:p>
    <w:p w:rsidR="001D6BC2" w:rsidRPr="00012DEF" w:rsidRDefault="002078D4" w:rsidP="001D6BC2">
      <w:pPr>
        <w:pStyle w:val="Odstavecseseznamem"/>
        <w:numPr>
          <w:ilvl w:val="0"/>
          <w:numId w:val="1"/>
        </w:numPr>
        <w:spacing w:before="120" w:after="120"/>
        <w:jc w:val="both"/>
        <w:rPr>
          <w:rFonts w:ascii="Arial" w:eastAsia="Arial" w:hAnsi="Arial" w:cs="Arial"/>
        </w:rPr>
      </w:pPr>
      <w:r w:rsidRPr="00012DEF">
        <w:rPr>
          <w:rFonts w:ascii="Arial" w:hAnsi="Arial" w:cs="Arial"/>
          <w:b/>
          <w:color w:val="0070C0"/>
        </w:rPr>
        <w:t xml:space="preserve">Popis </w:t>
      </w:r>
      <w:r w:rsidR="004D443D">
        <w:rPr>
          <w:rFonts w:ascii="Arial" w:hAnsi="Arial" w:cs="Arial"/>
          <w:b/>
          <w:color w:val="0070C0"/>
        </w:rPr>
        <w:t>M</w:t>
      </w:r>
      <w:r w:rsidRPr="00012DEF">
        <w:rPr>
          <w:rFonts w:ascii="Arial" w:hAnsi="Arial" w:cs="Arial"/>
          <w:b/>
          <w:color w:val="0070C0"/>
        </w:rPr>
        <w:t>ateriálu</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 xml:space="preserve">Materiál </w:t>
      </w:r>
      <w:r w:rsidR="008A512E">
        <w:rPr>
          <w:rFonts w:ascii="Arial" w:eastAsia="Arial" w:hAnsi="Arial" w:cs="Arial"/>
        </w:rPr>
        <w:t>je předkládán</w:t>
      </w:r>
      <w:r w:rsidRPr="00012DEF">
        <w:rPr>
          <w:rFonts w:ascii="Arial" w:eastAsia="Arial" w:hAnsi="Arial" w:cs="Arial"/>
        </w:rPr>
        <w:t xml:space="preserve"> vládě ke schválení financování projektů velkých výzkumných infrastruktur dle § 7 odst. 5 zák. č. 130/2002 Sb. Materiál obsahuje návrh na</w:t>
      </w:r>
      <w:r w:rsidR="00E242A5">
        <w:rPr>
          <w:rFonts w:ascii="Arial" w:eastAsia="Arial" w:hAnsi="Arial" w:cs="Arial"/>
        </w:rPr>
        <w:t> </w:t>
      </w:r>
      <w:r w:rsidRPr="00012DEF">
        <w:rPr>
          <w:rFonts w:ascii="Arial" w:eastAsia="Arial" w:hAnsi="Arial" w:cs="Arial"/>
        </w:rPr>
        <w:t>poskytování účelové podpory MŠMT velkým výzkumným infrastrukturám v období do roku 2022 v návaznosti na výstupy mezinárodního hodnocení z roku 2017.</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Velká výzkumná infrastruktura (dále VVI) je v současné době dle ust. § 2 odst. 2 písm. d) zákona</w:t>
      </w:r>
      <w:r w:rsidRPr="00012DEF">
        <w:rPr>
          <w:rFonts w:ascii="Arial" w:eastAsia="Arial" w:hAnsi="Arial" w:cs="Arial"/>
          <w:b/>
        </w:rPr>
        <w:t xml:space="preserve"> </w:t>
      </w:r>
      <w:r w:rsidRPr="00012DEF">
        <w:rPr>
          <w:rFonts w:ascii="Arial" w:eastAsia="Arial" w:hAnsi="Arial" w:cs="Arial"/>
        </w:rPr>
        <w:t>o podpoře výzkumu, experimentálního vývoje a inovací definována jako „</w:t>
      </w:r>
      <w:r w:rsidRPr="00012DEF">
        <w:rPr>
          <w:rFonts w:ascii="Arial" w:eastAsia="Arial" w:hAnsi="Arial" w:cs="Arial"/>
          <w:i/>
        </w:rPr>
        <w:t>výzkumná infrastruktura, která je výzkumným zařízením nezbytným pro ucelenou výzkumnou a vývojovou činnost s vysokou finanční a technologickou náročností, která je schvalována vládou a zřizována pro využití též dalšími výzkumnými organizacemi</w:t>
      </w:r>
      <w:r w:rsidRPr="00012DEF">
        <w:rPr>
          <w:rFonts w:ascii="Arial" w:eastAsia="Arial" w:hAnsi="Arial" w:cs="Arial"/>
        </w:rPr>
        <w:t>.“</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Provozní náklady VVI jsou hrazeny ze zdrojů účelové podpory MŠMT (výdaje státního rozpočtu na výzkum, vývoj a inovace). Investiční náklady na další technologický rozvoj VVI jsou financovány z Operačního programu Výzkum, vývoj a</w:t>
      </w:r>
      <w:r w:rsidR="00E242A5">
        <w:rPr>
          <w:rFonts w:ascii="Arial" w:eastAsia="Arial" w:hAnsi="Arial" w:cs="Arial"/>
        </w:rPr>
        <w:t> </w:t>
      </w:r>
      <w:r w:rsidRPr="00012DEF">
        <w:rPr>
          <w:rFonts w:ascii="Arial" w:eastAsia="Arial" w:hAnsi="Arial" w:cs="Arial"/>
        </w:rPr>
        <w:t>vzdělání</w:t>
      </w:r>
      <w:r w:rsidR="009327A9">
        <w:rPr>
          <w:rFonts w:ascii="Arial" w:eastAsia="Arial" w:hAnsi="Arial" w:cs="Arial"/>
        </w:rPr>
        <w:t xml:space="preserve"> (OP VVV)</w:t>
      </w:r>
      <w:r w:rsidRPr="00012DEF">
        <w:rPr>
          <w:rFonts w:ascii="Arial" w:eastAsia="Arial" w:hAnsi="Arial" w:cs="Arial"/>
        </w:rPr>
        <w:t>, a to v rámci plně komplementární investiční výzvy „Výzkumné infrastruktury“ určené k úhradě investičních nákladů VVI, které byly schváleny vládou ČR.</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Návazně na mezinárodní hodnocení v roce 2014 schválila vláda ČR návrhy VVI pro</w:t>
      </w:r>
      <w:r w:rsidR="00E242A5">
        <w:rPr>
          <w:rFonts w:ascii="Arial" w:eastAsia="Arial" w:hAnsi="Arial" w:cs="Arial"/>
        </w:rPr>
        <w:t> </w:t>
      </w:r>
      <w:r w:rsidRPr="00012DEF">
        <w:rPr>
          <w:rFonts w:ascii="Arial" w:eastAsia="Arial" w:hAnsi="Arial" w:cs="Arial"/>
        </w:rPr>
        <w:t>poskytování účelové podpory MŠMT v letech 2016 – 2019 usneseními vlády ze</w:t>
      </w:r>
      <w:r w:rsidR="00E242A5">
        <w:rPr>
          <w:rFonts w:ascii="Arial" w:eastAsia="Arial" w:hAnsi="Arial" w:cs="Arial"/>
        </w:rPr>
        <w:t> </w:t>
      </w:r>
      <w:r w:rsidRPr="00012DEF">
        <w:rPr>
          <w:rFonts w:ascii="Arial" w:eastAsia="Arial" w:hAnsi="Arial" w:cs="Arial"/>
        </w:rPr>
        <w:t>dne 15. června 2015 č. 482 a ze dne 21. prosince 2015 č. 1066. Druhé z uvedených usnesení určilo, že další financování velkých výzkumných infrastruktur pro výzkum, vývoj a inovace v letech 2020 až 2022 bude podmíněno pozitivním výstupem jejich re-evaluace v rámci 1. interim hodnocení provedeného Ministerstvem školství, mládeže a tělovýchovy v roce 2017.</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V roce 2017 zorganizovalo MŠMT interim hodnocení 58 VVI, které byly schváleny vládou v roce 2015</w:t>
      </w:r>
      <w:r w:rsidR="00760845">
        <w:rPr>
          <w:rFonts w:ascii="Arial" w:eastAsia="Arial" w:hAnsi="Arial" w:cs="Arial"/>
        </w:rPr>
        <w:t>,</w:t>
      </w:r>
      <w:r w:rsidRPr="00012DEF">
        <w:rPr>
          <w:rFonts w:ascii="Arial" w:eastAsia="Arial" w:hAnsi="Arial" w:cs="Arial"/>
        </w:rPr>
        <w:t xml:space="preserve"> a současně ex-ante hodnocení nově předložených návrhů VVI. V rámci mezinárodního hodnocení byly stávající VVI a nově předložené návrhy hodnoceny známkou na stupnici od 5 do 1, kdy známka 5 označovala nejvyšší kvalitativní úroveň a známka 1 naopak tu nejnižší úroveň. </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 xml:space="preserve">Dle předkládaného Materiálu by </w:t>
      </w:r>
      <w:r w:rsidR="009327A9">
        <w:rPr>
          <w:rFonts w:ascii="Arial" w:eastAsia="Arial" w:hAnsi="Arial" w:cs="Arial"/>
        </w:rPr>
        <w:t>do</w:t>
      </w:r>
      <w:r w:rsidRPr="00012DEF">
        <w:rPr>
          <w:rFonts w:ascii="Arial" w:eastAsia="Arial" w:hAnsi="Arial" w:cs="Arial"/>
        </w:rPr>
        <w:t xml:space="preserve"> roku 2022 měla být účelová podpora velkým výzkumným infrastrukturám</w:t>
      </w:r>
      <w:r w:rsidR="009327A9">
        <w:rPr>
          <w:rFonts w:ascii="Arial" w:eastAsia="Arial" w:hAnsi="Arial" w:cs="Arial"/>
        </w:rPr>
        <w:t xml:space="preserve"> poskytována</w:t>
      </w:r>
      <w:r w:rsidRPr="00012DEF">
        <w:rPr>
          <w:rFonts w:ascii="Arial" w:eastAsia="Arial" w:hAnsi="Arial" w:cs="Arial"/>
        </w:rPr>
        <w:t xml:space="preserve"> těm VVI, které v mezinárodním hodnocení </w:t>
      </w:r>
      <w:r w:rsidRPr="00012DEF">
        <w:rPr>
          <w:rFonts w:ascii="Arial" w:eastAsia="Arial" w:hAnsi="Arial" w:cs="Arial"/>
        </w:rPr>
        <w:lastRenderedPageBreak/>
        <w:t>uskutečněném v roce 2017 obdržely známky 5 a 4 (celkem 43 interim hodnocených velkých výzkumných infrastruktur a 7 ex-ante hodnocených nových návrhů). Na</w:t>
      </w:r>
      <w:r w:rsidR="00E242A5">
        <w:rPr>
          <w:rFonts w:ascii="Arial" w:eastAsia="Arial" w:hAnsi="Arial" w:cs="Arial"/>
        </w:rPr>
        <w:t> </w:t>
      </w:r>
      <w:r w:rsidRPr="00012DEF">
        <w:rPr>
          <w:rFonts w:ascii="Arial" w:eastAsia="Arial" w:hAnsi="Arial" w:cs="Arial"/>
        </w:rPr>
        <w:t>základě doporučení mezinárodní hodnotící komise dojde od roku 2020 k integraci velkých výzkumných infrastruktur CESNET, IT4Innovations a CERIT-SC (interim hodnocené) do jednoho e-infrastrukturního konsorciálního projektu a dále k integraci velkých výzkumných infrastruktur CEITEC Nano a LNSM (interim hodnocené) do společného konsorciálního projektu. Již v roce 2019 dojde navíc také k integraci velké výzkumné infrastruktury LINDAT/CLARIN (interim hodnocená) s velkou výzkumnou infrastrukturou DARIAH-CZ (ex-ante hodnocená), viz příloha č. 1 Materiálu. Nad tento rámec podporu v omezené míře obdrží i velké výzkumné infrastruktury EATRIS-CZ a ESS-CZ z důvodu členství ČR ve věcně příslušných právnických osobách ERIC a závazků ČR s tím spojených. Absolutní počet velkých výzkumných infrastruktur bude tedy oproti stávajícímu počtu 58 klesat na</w:t>
      </w:r>
      <w:r w:rsidR="00E242A5">
        <w:rPr>
          <w:rFonts w:ascii="Arial" w:eastAsia="Arial" w:hAnsi="Arial" w:cs="Arial"/>
        </w:rPr>
        <w:t> </w:t>
      </w:r>
      <w:r w:rsidRPr="00012DEF">
        <w:rPr>
          <w:rFonts w:ascii="Arial" w:eastAsia="Arial" w:hAnsi="Arial" w:cs="Arial"/>
        </w:rPr>
        <w:t>počet 48.</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MŠMT v Materiálu uvádí, že financování velkých výzkumných infrastruktur z</w:t>
      </w:r>
      <w:r w:rsidR="00E242A5">
        <w:rPr>
          <w:rFonts w:ascii="Arial" w:eastAsia="Arial" w:hAnsi="Arial" w:cs="Arial"/>
        </w:rPr>
        <w:t> </w:t>
      </w:r>
      <w:r w:rsidRPr="00012DEF">
        <w:rPr>
          <w:rFonts w:ascii="Arial" w:eastAsia="Arial" w:hAnsi="Arial" w:cs="Arial"/>
        </w:rPr>
        <w:t>prostředků účelové podpory MŠMT nebude zakládat veřejnou podporu ve smyslu čl. 107 odst. 1 Smlouvy.</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V příloze č. 2 Materiálu jsou uvedeny bližší popisy jednotlivých projektů velkých výzkumných infrastruktur.</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Důvodem předložení návrhu ve 4. čtvrtletí roku 2018 je nutnost zajištění financování jednotlivých VVI do roku 2022 a potřeba vyhlášení komplementárních výzev OP VVV pro úhradu investičních nákladů schválených velkých výzkumných infrastruktur tak, aby bylo možné výzvy realizovat v rámci časového harmonogramu implementace OP</w:t>
      </w:r>
      <w:r w:rsidR="0041453C">
        <w:rPr>
          <w:rFonts w:ascii="Arial" w:eastAsia="Arial" w:hAnsi="Arial" w:cs="Arial"/>
        </w:rPr>
        <w:t> VVV</w:t>
      </w:r>
      <w:r w:rsidRPr="00012DEF">
        <w:rPr>
          <w:rFonts w:ascii="Arial" w:eastAsia="Arial" w:hAnsi="Arial" w:cs="Arial"/>
        </w:rPr>
        <w:t>.  Výše investičních nákladů, které budou moci velké výzkumné infrastruktury schválené vládou ČR v rámci věcně příslušných výzev OP VVV uplatnit, jsou uvedeny v příloze č. 3 Materiálu.</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 xml:space="preserve"> </w:t>
      </w:r>
    </w:p>
    <w:p w:rsidR="002078D4" w:rsidRPr="00012DEF" w:rsidRDefault="002078D4" w:rsidP="002078D4">
      <w:pPr>
        <w:pStyle w:val="Odstavecseseznamem"/>
        <w:numPr>
          <w:ilvl w:val="0"/>
          <w:numId w:val="1"/>
        </w:numPr>
        <w:spacing w:before="120" w:after="120"/>
        <w:jc w:val="both"/>
        <w:rPr>
          <w:rFonts w:ascii="Arial" w:hAnsi="Arial" w:cs="Arial"/>
          <w:b/>
          <w:color w:val="0070C0"/>
        </w:rPr>
      </w:pPr>
      <w:r w:rsidRPr="00012DEF">
        <w:rPr>
          <w:rFonts w:ascii="Arial" w:hAnsi="Arial" w:cs="Arial"/>
          <w:b/>
          <w:color w:val="0070C0"/>
        </w:rPr>
        <w:t>Návrh financování</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Provozní náklady navrhovaných VVI budou v letech 2020 – 2022 financovány z výdajů státního rozpočtu na výzkum, vývoj a inovace (účelová podpora MŠMT) a</w:t>
      </w:r>
      <w:r w:rsidR="00E242A5">
        <w:rPr>
          <w:rFonts w:ascii="Arial" w:eastAsia="Arial" w:hAnsi="Arial" w:cs="Arial"/>
        </w:rPr>
        <w:t> </w:t>
      </w:r>
      <w:r w:rsidRPr="00012DEF">
        <w:rPr>
          <w:rFonts w:ascii="Arial" w:eastAsia="Arial" w:hAnsi="Arial" w:cs="Arial"/>
        </w:rPr>
        <w:t>investiční náklady z prostředků ESIF, konkrétně OP VVV (na základě hodnocení 2</w:t>
      </w:r>
      <w:r w:rsidR="00E242A5">
        <w:rPr>
          <w:rFonts w:ascii="Arial" w:eastAsia="Arial" w:hAnsi="Arial" w:cs="Arial"/>
        </w:rPr>
        <w:t> </w:t>
      </w:r>
      <w:r w:rsidRPr="00012DEF">
        <w:rPr>
          <w:rFonts w:ascii="Arial" w:eastAsia="Arial" w:hAnsi="Arial" w:cs="Arial"/>
        </w:rPr>
        <w:t>výzev: Výzkumné infrastruktury II a Výzkumné e-infrastruktury).</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V případě ex-ante hodnocených nových návrhů VVI navrhuje MŠMT zahájit jejich financování z prostředků účelové podpory již od roku 2019. V případě interim hodnocených VVI navrhuje MŠMT zahájení jejich nového finančního rámce od roku 2020.</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 xml:space="preserve">Celková výše poskytované účelové podpory MŠMT bude v letech 2020, 2021 a 2022 činit </w:t>
      </w:r>
      <w:r w:rsidR="00103B5A">
        <w:rPr>
          <w:rFonts w:ascii="Arial" w:eastAsia="Arial" w:hAnsi="Arial" w:cs="Arial"/>
        </w:rPr>
        <w:t xml:space="preserve">ročně </w:t>
      </w:r>
      <w:r w:rsidRPr="00012DEF">
        <w:rPr>
          <w:rFonts w:ascii="Arial" w:eastAsia="Arial" w:hAnsi="Arial" w:cs="Arial"/>
        </w:rPr>
        <w:t xml:space="preserve">1 890 mil. Kč. Stanovení celkové výše bylo předmětem průběžných jednání mezi MŠMT a </w:t>
      </w:r>
      <w:r w:rsidR="00582213">
        <w:rPr>
          <w:rFonts w:ascii="Arial" w:eastAsia="Arial" w:hAnsi="Arial" w:cs="Arial"/>
        </w:rPr>
        <w:t>Radou</w:t>
      </w:r>
      <w:r w:rsidRPr="00012DEF">
        <w:rPr>
          <w:rFonts w:ascii="Arial" w:eastAsia="Arial" w:hAnsi="Arial" w:cs="Arial"/>
        </w:rPr>
        <w:t xml:space="preserve">. V souladu s výstupy těchto jednání bude rozdíl mezi schválenými výdajovými rámci účelové podpory velkých výzkumných infrastruktur stanovenými usnesením vlády ČR ze dne 16. května 2018 č. 309 </w:t>
      </w:r>
      <w:r w:rsidR="00623440" w:rsidRPr="00012DEF">
        <w:rPr>
          <w:rFonts w:ascii="Arial" w:eastAsia="Arial" w:hAnsi="Arial" w:cs="Arial"/>
        </w:rPr>
        <w:t>o</w:t>
      </w:r>
      <w:r w:rsidR="00623440">
        <w:rPr>
          <w:rFonts w:ascii="Arial" w:eastAsia="Arial" w:hAnsi="Arial" w:cs="Arial"/>
        </w:rPr>
        <w:t> </w:t>
      </w:r>
      <w:r w:rsidRPr="00012DEF">
        <w:rPr>
          <w:rFonts w:ascii="Arial" w:eastAsia="Arial" w:hAnsi="Arial" w:cs="Arial"/>
        </w:rPr>
        <w:t>návrhu výdajů státního rozpočtu ČR na výzkum, experimentální vývoj a inovace na rok 2019 se střednědobým výhledem na léta 2020 a 2021</w:t>
      </w:r>
      <w:r w:rsidR="0041453C">
        <w:rPr>
          <w:rFonts w:ascii="Arial" w:eastAsia="Arial" w:hAnsi="Arial" w:cs="Arial"/>
        </w:rPr>
        <w:t xml:space="preserve"> </w:t>
      </w:r>
      <w:r w:rsidRPr="00012DEF">
        <w:rPr>
          <w:rFonts w:ascii="Arial" w:eastAsia="Arial" w:hAnsi="Arial" w:cs="Arial"/>
        </w:rPr>
        <w:t xml:space="preserve">a dlouhodobým výhledem do roku 2025 (1 720 mil. Kč) a uvedenou souhrnnou výší účelové podpory (1 890 mil. Kč) MŠMT uhrazen zapojením nároků z nespotřebovaných výdajů, které si MŠMT pro tento účel vyčlenilo. Za využití nároků z nespotřebovaných výdajů bude poté </w:t>
      </w:r>
      <w:r w:rsidRPr="00012DEF">
        <w:rPr>
          <w:rFonts w:ascii="Arial" w:eastAsia="Arial" w:hAnsi="Arial" w:cs="Arial"/>
        </w:rPr>
        <w:lastRenderedPageBreak/>
        <w:t>poskytnuta rovněž účelová podpora ex-ante hodnoceným novým návrhům velkých výzkumných infrastruktur v roce 2019.</w:t>
      </w:r>
    </w:p>
    <w:p w:rsidR="002078D4" w:rsidRPr="00012DEF" w:rsidRDefault="002078D4" w:rsidP="002078D4">
      <w:pPr>
        <w:numPr>
          <w:ilvl w:val="0"/>
          <w:numId w:val="20"/>
        </w:numPr>
        <w:spacing w:before="120" w:after="120"/>
        <w:jc w:val="both"/>
        <w:rPr>
          <w:rFonts w:ascii="Arial" w:eastAsia="Arial" w:hAnsi="Arial" w:cs="Arial"/>
        </w:rPr>
      </w:pPr>
      <w:r w:rsidRPr="00012DEF">
        <w:rPr>
          <w:rFonts w:ascii="Arial" w:eastAsia="Arial" w:hAnsi="Arial" w:cs="Arial"/>
        </w:rPr>
        <w:t>Výše investičních nákladů jednotlivých projektů k úhradě z Operačního programu Výzkum, vývoj a vzdělávání (OP VVV) v období let 2020 až 2022 je specifikována v příloze č. 3 Materiálu</w:t>
      </w:r>
      <w:r w:rsidR="00D005C3">
        <w:rPr>
          <w:rFonts w:ascii="Arial" w:eastAsia="Arial" w:hAnsi="Arial" w:cs="Arial"/>
        </w:rPr>
        <w:t>.</w:t>
      </w:r>
    </w:p>
    <w:p w:rsidR="002078D4" w:rsidRPr="00012DEF" w:rsidRDefault="002078D4" w:rsidP="002078D4">
      <w:pPr>
        <w:numPr>
          <w:ilvl w:val="0"/>
          <w:numId w:val="20"/>
        </w:numPr>
        <w:spacing w:before="120" w:after="120"/>
        <w:jc w:val="both"/>
        <w:rPr>
          <w:rFonts w:ascii="Arial" w:eastAsia="Arial" w:hAnsi="Arial" w:cs="Arial"/>
        </w:rPr>
      </w:pPr>
      <w:r w:rsidRPr="00012DEF">
        <w:rPr>
          <w:rFonts w:ascii="Arial" w:eastAsia="Arial" w:hAnsi="Arial" w:cs="Arial"/>
        </w:rPr>
        <w:t xml:space="preserve">Finanční rámec účelové podpory pro období let 2019/2020 až 2022 (provozní náklady) je uveden v příloze č. </w:t>
      </w:r>
      <w:r w:rsidR="00457BE5">
        <w:rPr>
          <w:rFonts w:ascii="Arial" w:eastAsia="Arial" w:hAnsi="Arial" w:cs="Arial"/>
        </w:rPr>
        <w:t>1</w:t>
      </w:r>
      <w:r w:rsidRPr="00012DEF">
        <w:rPr>
          <w:rFonts w:ascii="Arial" w:eastAsia="Arial" w:hAnsi="Arial" w:cs="Arial"/>
        </w:rPr>
        <w:t xml:space="preserve"> Materiálu</w:t>
      </w:r>
      <w:r w:rsidR="00D005C3">
        <w:rPr>
          <w:rFonts w:ascii="Arial" w:eastAsia="Arial" w:hAnsi="Arial" w:cs="Arial"/>
        </w:rPr>
        <w:t>.</w:t>
      </w:r>
    </w:p>
    <w:p w:rsidR="002078D4" w:rsidRPr="00012DEF" w:rsidRDefault="002078D4" w:rsidP="002078D4">
      <w:pPr>
        <w:spacing w:before="120" w:after="120"/>
        <w:jc w:val="both"/>
        <w:rPr>
          <w:rFonts w:ascii="Arial" w:eastAsia="Arial" w:hAnsi="Arial" w:cs="Arial"/>
        </w:rPr>
      </w:pPr>
    </w:p>
    <w:p w:rsidR="002078D4" w:rsidRPr="00012DEF" w:rsidRDefault="002078D4" w:rsidP="002078D4">
      <w:pPr>
        <w:pStyle w:val="Odstavecseseznamem"/>
        <w:numPr>
          <w:ilvl w:val="0"/>
          <w:numId w:val="1"/>
        </w:numPr>
        <w:spacing w:before="120" w:after="120"/>
        <w:jc w:val="both"/>
        <w:rPr>
          <w:rFonts w:ascii="Arial" w:hAnsi="Arial" w:cs="Arial"/>
          <w:b/>
          <w:color w:val="0070C0"/>
        </w:rPr>
      </w:pPr>
      <w:r w:rsidRPr="00012DEF">
        <w:rPr>
          <w:rFonts w:ascii="Arial" w:hAnsi="Arial" w:cs="Arial"/>
          <w:b/>
          <w:color w:val="0070C0"/>
        </w:rPr>
        <w:t>Postup projednání předmětné problematiky Radou</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Téma financování velkých výzkumných infrastruktur po roce 2019 bylo předmětem jednání zástupců Rady a MŠMT během roku 2018 a rovněž bylo opakovaně řešeno na zasedáních Rady. Diskutována byla zejména dlouhodobá udržitelnost financování VVI ve vazbě na  aktuální Národní politiku VaVaI na roky 2016 -</w:t>
      </w:r>
      <w:r w:rsidR="00E21E88">
        <w:rPr>
          <w:rFonts w:ascii="Arial" w:eastAsia="Arial" w:hAnsi="Arial" w:cs="Arial"/>
        </w:rPr>
        <w:t xml:space="preserve"> </w:t>
      </w:r>
      <w:r w:rsidRPr="00012DEF">
        <w:rPr>
          <w:rFonts w:ascii="Arial" w:eastAsia="Arial" w:hAnsi="Arial" w:cs="Arial"/>
        </w:rPr>
        <w:t xml:space="preserve">2020. Odhady dlouhodobého financování jsou ztíženy tím, že dosud není zcela vyjasněno, jak bude vypadat alokace finančních prostředků na příští programovací období po roce 2020. Lze pouze odhadovat, že převaha výdajů na VaVaI bude soustředěna do programu Horizon Europe a význam prostředků z ESIF by mohl být pro účely VaVaI nižší. </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 xml:space="preserve">Rada na svém 332. zasedání dne 2. února 2018 přijala k bodu A3) </w:t>
      </w:r>
      <w:r w:rsidRPr="00012DEF">
        <w:rPr>
          <w:rFonts w:ascii="Arial" w:eastAsia="Arial" w:hAnsi="Arial" w:cs="Arial"/>
          <w:bCs/>
        </w:rPr>
        <w:t>Strategie podpory velkých výzkumných infrastruktur z veřejných prostředků ČR v období do roku 2022 následující u</w:t>
      </w:r>
      <w:r w:rsidRPr="00012DEF">
        <w:rPr>
          <w:rFonts w:ascii="Arial" w:eastAsia="Arial" w:hAnsi="Arial" w:cs="Arial"/>
        </w:rPr>
        <w:t>snesení:</w:t>
      </w:r>
    </w:p>
    <w:p w:rsidR="002078D4" w:rsidRPr="00012DEF" w:rsidRDefault="002078D4" w:rsidP="002078D4">
      <w:pPr>
        <w:spacing w:before="120" w:after="120"/>
        <w:jc w:val="both"/>
        <w:rPr>
          <w:rFonts w:ascii="Arial" w:eastAsia="Arial" w:hAnsi="Arial" w:cs="Arial"/>
          <w:i/>
        </w:rPr>
      </w:pPr>
      <w:r w:rsidRPr="00012DEF">
        <w:rPr>
          <w:rFonts w:ascii="Arial" w:eastAsia="Arial" w:hAnsi="Arial" w:cs="Arial"/>
          <w:i/>
        </w:rPr>
        <w:t>Rada žádá MŠMT o předložení přehledné analýzy plnění mise a financování jednotlivých výzkumných infrastruktur. Analýza dle jednotlivých výzkumných infrastruktur bude zahrnovat dosud vynaložené výdaje z veřejných zdrojů, příklady konkrétního přínosu jednotlivých výzkumných infrastruktur, požadované finanční prostředky do roku 2022 celkem ze všech veřejných zdrojů a členění na investiční a neinvestiční, předpokládané přínosy pro výzkum v ČR, společenskou relevanci a indikátory úspěšnosti a efektivity provozu dle Metodiky 2017+ (business plány jednotlivých velkých výzkumných infrastruktur a výzkumných infrastruktur včleněných do velkých výzkumných center vybudovaných v rámci OP VaVpI).</w:t>
      </w:r>
    </w:p>
    <w:p w:rsidR="00012DEF" w:rsidRDefault="00012DEF" w:rsidP="002078D4">
      <w:pPr>
        <w:spacing w:before="120" w:after="120"/>
        <w:jc w:val="both"/>
        <w:rPr>
          <w:rFonts w:ascii="Arial" w:eastAsia="Arial" w:hAnsi="Arial" w:cs="Arial"/>
        </w:rPr>
      </w:pP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 xml:space="preserve">Na svém 335. zasedání dne 27. dubna 2018 dále přijala Rada usnesení k bodu </w:t>
      </w:r>
      <w:r w:rsidR="00E21E88">
        <w:rPr>
          <w:rFonts w:ascii="Arial" w:eastAsia="Arial" w:hAnsi="Arial" w:cs="Arial"/>
        </w:rPr>
        <w:br/>
      </w:r>
      <w:r w:rsidRPr="00012DEF">
        <w:rPr>
          <w:rFonts w:ascii="Arial" w:eastAsia="Arial" w:hAnsi="Arial" w:cs="Arial"/>
        </w:rPr>
        <w:t>A2) Velké výzkumné infrastruktury:</w:t>
      </w:r>
    </w:p>
    <w:p w:rsidR="002078D4" w:rsidRPr="00012DEF" w:rsidRDefault="002078D4" w:rsidP="002078D4">
      <w:pPr>
        <w:spacing w:before="120" w:after="120"/>
        <w:jc w:val="both"/>
        <w:rPr>
          <w:rFonts w:ascii="Arial" w:eastAsia="Arial" w:hAnsi="Arial" w:cs="Arial"/>
          <w:i/>
        </w:rPr>
      </w:pPr>
      <w:r w:rsidRPr="00012DEF">
        <w:rPr>
          <w:rFonts w:ascii="Arial" w:eastAsia="Arial" w:hAnsi="Arial" w:cs="Arial"/>
          <w:i/>
        </w:rPr>
        <w:t>Rada</w:t>
      </w:r>
    </w:p>
    <w:p w:rsidR="002078D4" w:rsidRPr="00012DEF" w:rsidRDefault="002078D4" w:rsidP="002078D4">
      <w:pPr>
        <w:numPr>
          <w:ilvl w:val="0"/>
          <w:numId w:val="18"/>
        </w:numPr>
        <w:spacing w:before="120" w:after="120"/>
        <w:jc w:val="both"/>
        <w:rPr>
          <w:rFonts w:ascii="Arial" w:eastAsia="Arial" w:hAnsi="Arial" w:cs="Arial"/>
          <w:i/>
        </w:rPr>
      </w:pPr>
      <w:r w:rsidRPr="00012DEF">
        <w:rPr>
          <w:rFonts w:ascii="Arial" w:eastAsia="Arial" w:hAnsi="Arial" w:cs="Arial"/>
          <w:i/>
        </w:rPr>
        <w:t>bere na vědomí dopis ministra školství, mládeže a tělovýchovy ze dne 11. dubna 2018 č.j. MSMT-9449/2018-1 a zápis z 6. zasedání Rady pro velké výzkumné infrastruktury,</w:t>
      </w:r>
    </w:p>
    <w:p w:rsidR="002078D4" w:rsidRPr="00012DEF" w:rsidRDefault="002078D4" w:rsidP="002078D4">
      <w:pPr>
        <w:numPr>
          <w:ilvl w:val="0"/>
          <w:numId w:val="18"/>
        </w:numPr>
        <w:spacing w:before="120" w:after="120"/>
        <w:jc w:val="both"/>
        <w:rPr>
          <w:rFonts w:ascii="Arial" w:eastAsia="Arial" w:hAnsi="Arial" w:cs="Arial"/>
          <w:i/>
        </w:rPr>
      </w:pPr>
      <w:r w:rsidRPr="00012DEF">
        <w:rPr>
          <w:rFonts w:ascii="Arial" w:eastAsia="Arial" w:hAnsi="Arial" w:cs="Arial"/>
          <w:i/>
        </w:rPr>
        <w:t>vítá poskytnutí podrobnějších podkladů o tzv. VaVpI centrech a velkých výzkumných infrastrukturách od Ministerstva školství, mládeže a</w:t>
      </w:r>
      <w:r w:rsidR="00E242A5">
        <w:rPr>
          <w:rFonts w:ascii="Arial" w:eastAsia="Arial" w:hAnsi="Arial" w:cs="Arial"/>
          <w:i/>
        </w:rPr>
        <w:t> </w:t>
      </w:r>
      <w:r w:rsidRPr="00012DEF">
        <w:rPr>
          <w:rFonts w:ascii="Arial" w:eastAsia="Arial" w:hAnsi="Arial" w:cs="Arial"/>
          <w:i/>
        </w:rPr>
        <w:t>tělovýchovy s tím, že stanovisko k této problematice Rada projedná na</w:t>
      </w:r>
      <w:r w:rsidR="00E242A5">
        <w:rPr>
          <w:rFonts w:ascii="Arial" w:eastAsia="Arial" w:hAnsi="Arial" w:cs="Arial"/>
          <w:i/>
        </w:rPr>
        <w:t> </w:t>
      </w:r>
      <w:r w:rsidRPr="00012DEF">
        <w:rPr>
          <w:rFonts w:ascii="Arial" w:eastAsia="Arial" w:hAnsi="Arial" w:cs="Arial"/>
          <w:i/>
        </w:rPr>
        <w:t>mimořádném zasedání Rady dne 7. září 2018,</w:t>
      </w:r>
    </w:p>
    <w:p w:rsidR="002078D4" w:rsidRPr="00012DEF" w:rsidRDefault="002078D4" w:rsidP="002078D4">
      <w:pPr>
        <w:numPr>
          <w:ilvl w:val="0"/>
          <w:numId w:val="18"/>
        </w:numPr>
        <w:spacing w:before="120" w:after="120"/>
        <w:jc w:val="both"/>
        <w:rPr>
          <w:rFonts w:ascii="Arial" w:eastAsia="Arial" w:hAnsi="Arial" w:cs="Arial"/>
          <w:i/>
          <w:iCs/>
        </w:rPr>
      </w:pPr>
      <w:r w:rsidRPr="00012DEF">
        <w:rPr>
          <w:rFonts w:ascii="Arial" w:eastAsia="Arial" w:hAnsi="Arial" w:cs="Arial"/>
          <w:i/>
          <w:iCs/>
        </w:rPr>
        <w:t>konstatuje s odvoláním na výsledky jednání mezi zástupci Rady a</w:t>
      </w:r>
      <w:r w:rsidR="00E242A5">
        <w:rPr>
          <w:rFonts w:ascii="Arial" w:eastAsia="Arial" w:hAnsi="Arial" w:cs="Arial"/>
          <w:i/>
          <w:iCs/>
        </w:rPr>
        <w:t> </w:t>
      </w:r>
      <w:r w:rsidRPr="00012DEF">
        <w:rPr>
          <w:rFonts w:ascii="Arial" w:eastAsia="Arial" w:hAnsi="Arial" w:cs="Arial"/>
          <w:i/>
        </w:rPr>
        <w:t>Ministerstva školství, mládeže a tělovýchovy</w:t>
      </w:r>
      <w:r w:rsidRPr="00012DEF">
        <w:rPr>
          <w:rFonts w:ascii="Arial" w:eastAsia="Arial" w:hAnsi="Arial" w:cs="Arial"/>
          <w:i/>
          <w:iCs/>
        </w:rPr>
        <w:t xml:space="preserve"> ze dne 19. dubna 2018, že v návrhu státního rozpočtu VaVaI (schváleném usnesením 335/A1) je limit </w:t>
      </w:r>
      <w:r w:rsidRPr="00012DEF">
        <w:rPr>
          <w:rFonts w:ascii="Arial" w:eastAsia="Arial" w:hAnsi="Arial" w:cs="Arial"/>
          <w:i/>
          <w:iCs/>
        </w:rPr>
        <w:lastRenderedPageBreak/>
        <w:t>účelové podpory na projekty velkých výzkumných infrastruktur pro roky 2019 - 2020 nastaven prozatím ve stávající výši 1 720 mil. Kč, a to až do</w:t>
      </w:r>
      <w:r w:rsidR="00E242A5">
        <w:rPr>
          <w:rFonts w:ascii="Arial" w:eastAsia="Arial" w:hAnsi="Arial" w:cs="Arial"/>
          <w:i/>
          <w:iCs/>
        </w:rPr>
        <w:t> </w:t>
      </w:r>
      <w:r w:rsidRPr="00012DEF">
        <w:rPr>
          <w:rFonts w:ascii="Arial" w:eastAsia="Arial" w:hAnsi="Arial" w:cs="Arial"/>
          <w:i/>
          <w:iCs/>
        </w:rPr>
        <w:t>ukončení analýz podkladů, zaslaných Radě dne 19. dubna 2018, na</w:t>
      </w:r>
      <w:r w:rsidR="00E242A5">
        <w:rPr>
          <w:rFonts w:ascii="Arial" w:eastAsia="Arial" w:hAnsi="Arial" w:cs="Arial"/>
          <w:i/>
          <w:iCs/>
        </w:rPr>
        <w:t> </w:t>
      </w:r>
      <w:r w:rsidRPr="00012DEF">
        <w:rPr>
          <w:rFonts w:ascii="Arial" w:eastAsia="Arial" w:hAnsi="Arial" w:cs="Arial"/>
          <w:i/>
          <w:iCs/>
        </w:rPr>
        <w:t>základě usnesení Rady 332/A3 ze dne 2. února 2018,</w:t>
      </w:r>
    </w:p>
    <w:p w:rsidR="002078D4" w:rsidRPr="00012DEF" w:rsidRDefault="002078D4" w:rsidP="002078D4">
      <w:pPr>
        <w:numPr>
          <w:ilvl w:val="0"/>
          <w:numId w:val="18"/>
        </w:numPr>
        <w:spacing w:before="120" w:after="120"/>
        <w:jc w:val="both"/>
        <w:rPr>
          <w:rFonts w:ascii="Arial" w:eastAsia="Arial" w:hAnsi="Arial" w:cs="Arial"/>
          <w:i/>
        </w:rPr>
      </w:pPr>
      <w:r w:rsidRPr="00012DEF">
        <w:rPr>
          <w:rFonts w:ascii="Arial" w:eastAsia="Arial" w:hAnsi="Arial" w:cs="Arial"/>
          <w:i/>
          <w:iCs/>
        </w:rPr>
        <w:t xml:space="preserve">obratem zahájí analýzu podkladů a ve spolupráci s </w:t>
      </w:r>
      <w:r w:rsidRPr="00012DEF">
        <w:rPr>
          <w:rFonts w:ascii="Arial" w:eastAsia="Arial" w:hAnsi="Arial" w:cs="Arial"/>
          <w:i/>
        </w:rPr>
        <w:t xml:space="preserve">Ministerstvem školství, mládeže a tělovýchovy </w:t>
      </w:r>
      <w:r w:rsidRPr="00012DEF">
        <w:rPr>
          <w:rFonts w:ascii="Arial" w:eastAsia="Arial" w:hAnsi="Arial" w:cs="Arial"/>
          <w:i/>
          <w:iCs/>
        </w:rPr>
        <w:t>připraví závěrečnou zprávu, na základě které navrhne limit výdajů pro velké výzkumné infrastruktury ve střednědobém horizontu, a to nejpozději do 7. září 2018, přičemž průběžný termín k projednání analýzy bude 29. června 2018 (usnesení k tomuto podbodu bylo změněno usnesením z 336. zasedání Rady k bodu A2, podbod 3 tak, že „… na zasedání Rady dne 29. června 2018 bude vzhledem ke</w:t>
      </w:r>
      <w:r w:rsidR="00E242A5">
        <w:rPr>
          <w:rFonts w:ascii="Arial" w:eastAsia="Arial" w:hAnsi="Arial" w:cs="Arial"/>
          <w:i/>
          <w:iCs/>
        </w:rPr>
        <w:t> </w:t>
      </w:r>
      <w:r w:rsidRPr="00012DEF">
        <w:rPr>
          <w:rFonts w:ascii="Arial" w:eastAsia="Arial" w:hAnsi="Arial" w:cs="Arial"/>
          <w:i/>
          <w:iCs/>
        </w:rPr>
        <w:t>komplexnosti problematiky podána pouze informace o průběhu prací pracovní skupiny“),</w:t>
      </w:r>
    </w:p>
    <w:p w:rsidR="002078D4" w:rsidRPr="00012DEF" w:rsidRDefault="002078D4" w:rsidP="002078D4">
      <w:pPr>
        <w:numPr>
          <w:ilvl w:val="0"/>
          <w:numId w:val="18"/>
        </w:numPr>
        <w:spacing w:before="120" w:after="120"/>
        <w:jc w:val="both"/>
        <w:rPr>
          <w:rFonts w:ascii="Arial" w:eastAsia="Arial" w:hAnsi="Arial" w:cs="Arial"/>
          <w:i/>
        </w:rPr>
      </w:pPr>
      <w:r w:rsidRPr="00012DEF">
        <w:rPr>
          <w:rFonts w:ascii="Arial" w:eastAsia="Arial" w:hAnsi="Arial" w:cs="Arial"/>
          <w:i/>
          <w:iCs/>
        </w:rPr>
        <w:t>pověřuje místopředsedu Rady doc. Havlíčka ustavením pracovní skupiny ke zpracování analýzy podkladů podle bodu 4. tohoto usnesení.</w:t>
      </w:r>
    </w:p>
    <w:p w:rsidR="002078D4" w:rsidRPr="00012DEF" w:rsidRDefault="002078D4" w:rsidP="002078D4">
      <w:pPr>
        <w:spacing w:before="120" w:after="120"/>
        <w:jc w:val="both"/>
        <w:rPr>
          <w:rFonts w:ascii="Arial" w:eastAsia="Arial" w:hAnsi="Arial" w:cs="Arial"/>
        </w:rPr>
      </w:pPr>
    </w:p>
    <w:p w:rsidR="002078D4" w:rsidRPr="00012DEF" w:rsidRDefault="002078D4" w:rsidP="002078D4">
      <w:pPr>
        <w:spacing w:before="120" w:after="120"/>
        <w:jc w:val="both"/>
        <w:rPr>
          <w:rFonts w:ascii="Arial" w:eastAsia="Arial" w:hAnsi="Arial" w:cs="Arial"/>
          <w:bCs/>
        </w:rPr>
      </w:pPr>
      <w:r w:rsidRPr="00012DEF">
        <w:rPr>
          <w:rFonts w:ascii="Arial" w:eastAsia="Arial" w:hAnsi="Arial" w:cs="Arial"/>
        </w:rPr>
        <w:t>V návaznosti na usnesení Rady zaslalo MŠMT v průběhu června a července podrobné specifikace jednotlivých VVI (Dotazníky jednotlivých VVI, Karty jednotlivých VVI, Shrnutí). Pracovní tým pod vedením člena Rady Ing. Luboše Nováka, CSc. provedl podrobnou ekonomickou analýzu jednotlivých podkladů.</w:t>
      </w:r>
    </w:p>
    <w:p w:rsidR="00012DEF" w:rsidRDefault="00012DEF" w:rsidP="002078D4">
      <w:pPr>
        <w:spacing w:before="120" w:after="120"/>
        <w:jc w:val="both"/>
        <w:rPr>
          <w:rFonts w:ascii="Arial" w:eastAsia="Arial" w:hAnsi="Arial" w:cs="Arial"/>
        </w:rPr>
      </w:pP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Na svém mimořádném zasedání dne 7. 9. 2018 přijala Rada následující usnesení:</w:t>
      </w:r>
    </w:p>
    <w:p w:rsidR="002078D4" w:rsidRPr="00012DEF" w:rsidRDefault="002078D4" w:rsidP="002078D4">
      <w:pPr>
        <w:spacing w:before="120" w:after="120"/>
        <w:jc w:val="both"/>
        <w:rPr>
          <w:rFonts w:ascii="Arial" w:eastAsia="Arial" w:hAnsi="Arial" w:cs="Arial"/>
          <w:i/>
        </w:rPr>
      </w:pPr>
      <w:r w:rsidRPr="00012DEF">
        <w:rPr>
          <w:rFonts w:ascii="Arial" w:eastAsia="Arial" w:hAnsi="Arial" w:cs="Arial"/>
          <w:i/>
        </w:rPr>
        <w:t>Rada</w:t>
      </w:r>
    </w:p>
    <w:p w:rsidR="002078D4" w:rsidRPr="00012DEF" w:rsidRDefault="002078D4" w:rsidP="002078D4">
      <w:pPr>
        <w:numPr>
          <w:ilvl w:val="0"/>
          <w:numId w:val="19"/>
        </w:numPr>
        <w:spacing w:before="120" w:after="120"/>
        <w:jc w:val="both"/>
        <w:rPr>
          <w:rFonts w:ascii="Arial" w:eastAsia="Arial" w:hAnsi="Arial" w:cs="Arial"/>
          <w:i/>
        </w:rPr>
      </w:pPr>
      <w:r w:rsidRPr="00012DEF">
        <w:rPr>
          <w:rFonts w:ascii="Arial" w:eastAsia="Arial" w:hAnsi="Arial" w:cs="Arial"/>
          <w:i/>
        </w:rPr>
        <w:t xml:space="preserve">oceňuje rozsah zaslaných podkladů a úsilí, které MŠMT vyvinulo pro objasnění fungování velkých výzkumných infrastruktur, zejm. přehledný výkaz aktivit jednotlivých infrastruktur a jejich výzkumné výsledky,   </w:t>
      </w:r>
    </w:p>
    <w:p w:rsidR="002078D4" w:rsidRPr="00012DEF" w:rsidRDefault="002078D4" w:rsidP="002078D4">
      <w:pPr>
        <w:numPr>
          <w:ilvl w:val="0"/>
          <w:numId w:val="19"/>
        </w:numPr>
        <w:spacing w:before="120" w:after="120"/>
        <w:jc w:val="both"/>
        <w:rPr>
          <w:rFonts w:ascii="Arial" w:eastAsia="Arial" w:hAnsi="Arial" w:cs="Arial"/>
          <w:i/>
        </w:rPr>
      </w:pPr>
      <w:r w:rsidRPr="00012DEF">
        <w:rPr>
          <w:rFonts w:ascii="Arial" w:eastAsia="Arial" w:hAnsi="Arial" w:cs="Arial"/>
          <w:i/>
        </w:rPr>
        <w:t xml:space="preserve">pro získání dostatečně podrobného obrazu o dlouhodobé ekonomické udržitelnosti a o dopadech velkých výzkumných infrastruktur na jednotlivá odvětví a obory žádá MŠMT o předložení primárních podkladů o velkých výzkumných infrastrukturách uvedených v § 9 odst. 1 a 2 zákona č. 130/2002 Sb., včetně všech dodatků, </w:t>
      </w:r>
    </w:p>
    <w:p w:rsidR="002078D4" w:rsidRPr="00012DEF" w:rsidRDefault="002078D4" w:rsidP="002078D4">
      <w:pPr>
        <w:numPr>
          <w:ilvl w:val="0"/>
          <w:numId w:val="19"/>
        </w:numPr>
        <w:spacing w:before="120" w:after="120"/>
        <w:jc w:val="both"/>
        <w:rPr>
          <w:rFonts w:ascii="Arial" w:eastAsia="Arial" w:hAnsi="Arial" w:cs="Arial"/>
          <w:i/>
        </w:rPr>
      </w:pPr>
      <w:r w:rsidRPr="00012DEF">
        <w:rPr>
          <w:rFonts w:ascii="Arial" w:eastAsia="Arial" w:hAnsi="Arial" w:cs="Arial"/>
          <w:i/>
        </w:rPr>
        <w:t>bere na vědomí a pozitivně hodnotí návrh MŠMT na redukci a ekonomickou konsolidaci počtu projektů velkých výzkumných infrastruktur provedenou MŠMT z 58 projektů na 49 projektů,</w:t>
      </w:r>
    </w:p>
    <w:p w:rsidR="002078D4" w:rsidRPr="00012DEF" w:rsidRDefault="002078D4" w:rsidP="002078D4">
      <w:pPr>
        <w:numPr>
          <w:ilvl w:val="0"/>
          <w:numId w:val="19"/>
        </w:numPr>
        <w:spacing w:before="120" w:after="120"/>
        <w:jc w:val="both"/>
        <w:rPr>
          <w:rFonts w:ascii="Arial" w:eastAsia="Arial" w:hAnsi="Arial" w:cs="Arial"/>
          <w:i/>
        </w:rPr>
      </w:pPr>
      <w:r w:rsidRPr="00012DEF">
        <w:rPr>
          <w:rFonts w:ascii="Arial" w:eastAsia="Arial" w:hAnsi="Arial" w:cs="Arial"/>
          <w:i/>
        </w:rPr>
        <w:t xml:space="preserve">vyslovuje obavu, že projektové financování velkých výzkumných infrastruktur nemusí dávat v některých případech dostatečnou záruku dlouhodobé udržitelnosti a finanční efektivnosti vzhledem ke strategickému významu velkých výzkumných infrastruktur pro vývoj sféry výzkumu a vývoje a doporučuje MŠMT ve spolupráci s Radou hledat jinou, stabilnější formu financování velkých výzkumných infrastruktur, </w:t>
      </w:r>
    </w:p>
    <w:p w:rsidR="002078D4" w:rsidRPr="00012DEF" w:rsidRDefault="002078D4" w:rsidP="002078D4">
      <w:pPr>
        <w:numPr>
          <w:ilvl w:val="0"/>
          <w:numId w:val="19"/>
        </w:numPr>
        <w:spacing w:before="120" w:after="120"/>
        <w:jc w:val="both"/>
        <w:rPr>
          <w:rFonts w:ascii="Arial" w:eastAsia="Arial" w:hAnsi="Arial" w:cs="Arial"/>
          <w:i/>
        </w:rPr>
      </w:pPr>
      <w:r w:rsidRPr="00012DEF">
        <w:rPr>
          <w:rFonts w:ascii="Arial" w:eastAsia="Arial" w:hAnsi="Arial" w:cs="Arial"/>
          <w:i/>
        </w:rPr>
        <w:t xml:space="preserve">ukládá zpravodaji tohoto úkolu Ing. L. Novákovi připravit v součinnosti s MŠMT do 30. 11. 2018 kritéria pro kategorizaci velkých výzkumných infrastruktur s platností od roku 2020 včetně; výstupy budou využity při přípravě návrhu rozpočtu na rok 2020 s výhledem na roky 2021 a 2022, </w:t>
      </w:r>
    </w:p>
    <w:p w:rsidR="002078D4" w:rsidRPr="00012DEF" w:rsidRDefault="002078D4" w:rsidP="002078D4">
      <w:pPr>
        <w:numPr>
          <w:ilvl w:val="0"/>
          <w:numId w:val="19"/>
        </w:numPr>
        <w:spacing w:before="120" w:after="120"/>
        <w:jc w:val="both"/>
        <w:rPr>
          <w:rFonts w:ascii="Arial" w:eastAsia="Arial" w:hAnsi="Arial" w:cs="Arial"/>
          <w:i/>
        </w:rPr>
      </w:pPr>
      <w:r w:rsidRPr="00012DEF">
        <w:rPr>
          <w:rFonts w:ascii="Arial" w:eastAsia="Arial" w:hAnsi="Arial" w:cs="Arial"/>
          <w:i/>
        </w:rPr>
        <w:lastRenderedPageBreak/>
        <w:t xml:space="preserve">souhlasí s navýšením výdajů na velké výzkumné infrastruktury o 170 mil. Kč v roce 2020, tj. z 1,720 mld. Kč na 1,890 mld. Kč v daném roce, které proběhne v souladu s návrhem MŠMT, přičemž se celkový rozpočet výdajů na VaVaI v kapitole MŠMT na rok 2020 nemění, a současně žádá MŠMT o předložení </w:t>
      </w:r>
      <w:r w:rsidR="004D443D">
        <w:rPr>
          <w:rFonts w:ascii="Arial" w:eastAsia="Arial" w:hAnsi="Arial" w:cs="Arial"/>
          <w:i/>
        </w:rPr>
        <w:t>M</w:t>
      </w:r>
      <w:r w:rsidRPr="00012DEF">
        <w:rPr>
          <w:rFonts w:ascii="Arial" w:eastAsia="Arial" w:hAnsi="Arial" w:cs="Arial"/>
          <w:i/>
        </w:rPr>
        <w:t>ateriálu pro jednání vlády ke schválení projektů velkých výzkumných infrastruktur na zasedání Rady v prosinci 2018,</w:t>
      </w:r>
    </w:p>
    <w:p w:rsidR="002078D4" w:rsidRPr="00012DEF" w:rsidRDefault="002078D4" w:rsidP="002078D4">
      <w:pPr>
        <w:numPr>
          <w:ilvl w:val="0"/>
          <w:numId w:val="19"/>
        </w:numPr>
        <w:spacing w:before="120" w:after="120"/>
        <w:jc w:val="both"/>
        <w:rPr>
          <w:rFonts w:ascii="Arial" w:eastAsia="Arial" w:hAnsi="Arial" w:cs="Arial"/>
          <w:i/>
        </w:rPr>
      </w:pPr>
      <w:r w:rsidRPr="00012DEF">
        <w:rPr>
          <w:rFonts w:ascii="Arial" w:eastAsia="Arial" w:hAnsi="Arial" w:cs="Arial"/>
          <w:i/>
        </w:rPr>
        <w:t xml:space="preserve">doporučuje MŠMT, aby součástí </w:t>
      </w:r>
      <w:r w:rsidR="004D443D">
        <w:rPr>
          <w:rFonts w:ascii="Arial" w:eastAsia="Arial" w:hAnsi="Arial" w:cs="Arial"/>
          <w:i/>
        </w:rPr>
        <w:t>M</w:t>
      </w:r>
      <w:r w:rsidRPr="00012DEF">
        <w:rPr>
          <w:rFonts w:ascii="Arial" w:eastAsia="Arial" w:hAnsi="Arial" w:cs="Arial"/>
          <w:i/>
        </w:rPr>
        <w:t>ateriálu do vlády podle bodu č. 6 bylo pro každý projekt podrobné odůvodnění, na jakém právním základě se navrhuje jeho podpora.</w:t>
      </w:r>
    </w:p>
    <w:p w:rsidR="002078D4" w:rsidRPr="00012DEF" w:rsidRDefault="002078D4" w:rsidP="002078D4">
      <w:pPr>
        <w:spacing w:before="120" w:after="120"/>
        <w:jc w:val="both"/>
        <w:rPr>
          <w:rFonts w:ascii="Arial" w:eastAsia="Arial" w:hAnsi="Arial" w:cs="Arial"/>
        </w:rPr>
      </w:pPr>
    </w:p>
    <w:p w:rsidR="002078D4" w:rsidRPr="00012DEF" w:rsidRDefault="002078D4" w:rsidP="002078D4">
      <w:pPr>
        <w:pStyle w:val="Odstavecseseznamem"/>
        <w:numPr>
          <w:ilvl w:val="0"/>
          <w:numId w:val="1"/>
        </w:numPr>
        <w:spacing w:before="120" w:after="120"/>
        <w:jc w:val="both"/>
        <w:rPr>
          <w:rFonts w:ascii="Arial" w:hAnsi="Arial" w:cs="Arial"/>
          <w:b/>
          <w:color w:val="0070C0"/>
        </w:rPr>
      </w:pPr>
      <w:r w:rsidRPr="00012DEF">
        <w:rPr>
          <w:rFonts w:ascii="Arial" w:hAnsi="Arial" w:cs="Arial"/>
          <w:b/>
          <w:color w:val="0070C0"/>
        </w:rPr>
        <w:t xml:space="preserve"> Připomínky k materiálu  </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 xml:space="preserve">V předkládaném </w:t>
      </w:r>
      <w:r w:rsidR="004D443D">
        <w:rPr>
          <w:rFonts w:ascii="Arial" w:eastAsia="Arial" w:hAnsi="Arial" w:cs="Arial"/>
        </w:rPr>
        <w:t>M</w:t>
      </w:r>
      <w:r w:rsidRPr="00012DEF">
        <w:rPr>
          <w:rFonts w:ascii="Arial" w:eastAsia="Arial" w:hAnsi="Arial" w:cs="Arial"/>
        </w:rPr>
        <w:t xml:space="preserve">ateriálu MŠMT </w:t>
      </w:r>
      <w:r w:rsidR="003D4FD2">
        <w:rPr>
          <w:rFonts w:ascii="Arial" w:eastAsia="Arial" w:hAnsi="Arial" w:cs="Arial"/>
        </w:rPr>
        <w:t xml:space="preserve">částečně </w:t>
      </w:r>
      <w:r w:rsidRPr="00012DEF">
        <w:rPr>
          <w:rFonts w:ascii="Arial" w:eastAsia="Arial" w:hAnsi="Arial" w:cs="Arial"/>
        </w:rPr>
        <w:t xml:space="preserve">zohlednilo usnesení Rady ze dne </w:t>
      </w:r>
      <w:r w:rsidR="004A7734">
        <w:rPr>
          <w:rFonts w:ascii="Arial" w:eastAsia="Arial" w:hAnsi="Arial" w:cs="Arial"/>
        </w:rPr>
        <w:br/>
      </w:r>
      <w:r w:rsidRPr="00012DEF">
        <w:rPr>
          <w:rFonts w:ascii="Arial" w:eastAsia="Arial" w:hAnsi="Arial" w:cs="Arial"/>
        </w:rPr>
        <w:t xml:space="preserve">7. 9. 2018: </w:t>
      </w:r>
    </w:p>
    <w:p w:rsidR="002078D4" w:rsidRPr="00012DEF" w:rsidRDefault="002078D4" w:rsidP="002078D4">
      <w:pPr>
        <w:numPr>
          <w:ilvl w:val="0"/>
          <w:numId w:val="21"/>
        </w:numPr>
        <w:spacing w:before="120" w:after="120"/>
        <w:jc w:val="both"/>
        <w:rPr>
          <w:rFonts w:ascii="Arial" w:eastAsia="Arial" w:hAnsi="Arial" w:cs="Arial"/>
          <w:i/>
        </w:rPr>
      </w:pPr>
      <w:r w:rsidRPr="00012DEF">
        <w:rPr>
          <w:rFonts w:ascii="Arial" w:eastAsia="Arial" w:hAnsi="Arial" w:cs="Arial"/>
        </w:rPr>
        <w:t xml:space="preserve">Materiál navrhuje postupnou </w:t>
      </w:r>
      <w:r w:rsidRPr="00012DEF">
        <w:rPr>
          <w:rFonts w:ascii="Arial" w:eastAsia="Arial" w:hAnsi="Arial" w:cs="Arial"/>
          <w:i/>
        </w:rPr>
        <w:t>redukci a ekonomickou konsolidaci počtu projektů velkých výzkumných infrastruktur provedenou MŠMT z 58 projektů na 49 projektů,</w:t>
      </w:r>
    </w:p>
    <w:p w:rsidR="002078D4" w:rsidRPr="00012DEF" w:rsidRDefault="002078D4" w:rsidP="002078D4">
      <w:pPr>
        <w:numPr>
          <w:ilvl w:val="0"/>
          <w:numId w:val="21"/>
        </w:numPr>
        <w:spacing w:before="120" w:after="120"/>
        <w:jc w:val="both"/>
        <w:rPr>
          <w:rFonts w:ascii="Arial" w:eastAsia="Arial" w:hAnsi="Arial" w:cs="Arial"/>
          <w:i/>
        </w:rPr>
      </w:pPr>
      <w:r w:rsidRPr="00012DEF">
        <w:rPr>
          <w:rFonts w:ascii="Arial" w:eastAsia="Arial" w:hAnsi="Arial" w:cs="Arial"/>
        </w:rPr>
        <w:t xml:space="preserve">je dodržen finanční limit pro rok 2020 ve výši </w:t>
      </w:r>
      <w:r w:rsidRPr="00012DEF">
        <w:rPr>
          <w:rFonts w:ascii="Arial" w:eastAsia="Arial" w:hAnsi="Arial" w:cs="Arial"/>
          <w:i/>
        </w:rPr>
        <w:t xml:space="preserve">1,890 mld., a stejný limit je promítnut i do let 2021 a 2022. </w:t>
      </w:r>
    </w:p>
    <w:p w:rsidR="002078D4" w:rsidRPr="00012DEF" w:rsidRDefault="002078D4" w:rsidP="002078D4">
      <w:pPr>
        <w:spacing w:before="120" w:after="120"/>
        <w:jc w:val="both"/>
        <w:rPr>
          <w:rFonts w:ascii="Arial" w:eastAsia="Arial" w:hAnsi="Arial" w:cs="Arial"/>
          <w:b/>
          <w:u w:val="single"/>
        </w:rPr>
      </w:pPr>
      <w:r w:rsidRPr="00012DEF">
        <w:rPr>
          <w:rFonts w:ascii="Arial" w:eastAsia="Arial" w:hAnsi="Arial" w:cs="Arial"/>
          <w:b/>
          <w:u w:val="single"/>
        </w:rPr>
        <w:t xml:space="preserve">Připomínka č. 1 </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 xml:space="preserve">V Materiálu není </w:t>
      </w:r>
      <w:bookmarkStart w:id="0" w:name="_GoBack"/>
      <w:bookmarkEnd w:id="0"/>
      <w:r w:rsidRPr="00012DEF">
        <w:rPr>
          <w:rFonts w:ascii="Arial" w:eastAsia="Arial" w:hAnsi="Arial" w:cs="Arial"/>
        </w:rPr>
        <w:t xml:space="preserve">podrobné odůvodnění, na jakém právním základě se navrhuje jejich podpora (viz bod 7 usnesení Rady ze dne 7. 9. 2018). </w:t>
      </w: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 xml:space="preserve">MŠMT v Materiálu uvádí, že: </w:t>
      </w:r>
    </w:p>
    <w:p w:rsidR="002078D4" w:rsidRPr="00012DEF" w:rsidRDefault="002078D4" w:rsidP="002078D4">
      <w:pPr>
        <w:spacing w:before="120" w:after="120"/>
        <w:jc w:val="both"/>
        <w:rPr>
          <w:rFonts w:ascii="Arial" w:eastAsia="Arial" w:hAnsi="Arial" w:cs="Arial"/>
          <w:b/>
          <w:bCs/>
          <w:i/>
          <w:iCs/>
        </w:rPr>
      </w:pPr>
      <w:r w:rsidRPr="00012DEF">
        <w:rPr>
          <w:rFonts w:ascii="Arial" w:eastAsia="Arial" w:hAnsi="Arial" w:cs="Arial"/>
        </w:rPr>
        <w:t>„</w:t>
      </w:r>
      <w:r w:rsidRPr="00012DEF">
        <w:rPr>
          <w:rFonts w:ascii="Arial" w:eastAsia="Arial" w:hAnsi="Arial" w:cs="Arial"/>
          <w:i/>
          <w:iCs/>
        </w:rPr>
        <w:t>Hostitelskými a partnerskými institucemi velkých výzkumných infrastruktur, tj.</w:t>
      </w:r>
      <w:r w:rsidR="00E242A5">
        <w:rPr>
          <w:rFonts w:ascii="Arial" w:eastAsia="Arial" w:hAnsi="Arial" w:cs="Arial"/>
          <w:i/>
          <w:iCs/>
        </w:rPr>
        <w:t> </w:t>
      </w:r>
      <w:r w:rsidRPr="00012DEF">
        <w:rPr>
          <w:rFonts w:ascii="Arial" w:eastAsia="Arial" w:hAnsi="Arial" w:cs="Arial"/>
          <w:i/>
          <w:iCs/>
        </w:rPr>
        <w:t xml:space="preserve">institucemi, které se budou podílet na provozování velkých výzkumných infrastruktur v rolích příjemců podpory a dalších účastníků věcně příslušných projektů podpory, jsou u všech navrhovaných velkých výzkumných infrastruktur </w:t>
      </w:r>
      <w:r w:rsidRPr="00012DEF">
        <w:rPr>
          <w:rFonts w:ascii="Arial" w:eastAsia="Arial" w:hAnsi="Arial" w:cs="Arial"/>
          <w:b/>
          <w:bCs/>
          <w:i/>
          <w:iCs/>
        </w:rPr>
        <w:t>organizace pro výzkum a šíření znalostí</w:t>
      </w:r>
      <w:r w:rsidRPr="00012DEF">
        <w:rPr>
          <w:rFonts w:ascii="Arial" w:eastAsia="Arial" w:hAnsi="Arial" w:cs="Arial"/>
          <w:i/>
          <w:iCs/>
        </w:rPr>
        <w:t xml:space="preserve"> tak, jak jsou definovány Rámcem pro státní podporu výzkumu, vývoje a inovací (2014/C 198/01). Podpora velkých výzkumných infrastruktur z prostředků účelové podpory MŠMT z výdajů státního rozpočtu ČR na výzkum, vývoj a inovace poté nebude zakládat veřejnou podporu ve smyslu čl. 107 odst. 1 Smlouvy o fungování EU. Účelová podpora velkých výzkumných infrastruktur schválených vládou ČR bude poskytována organizacím pro výzkum a šíření znalostí a finanční prostředky budou směřovány na </w:t>
      </w:r>
      <w:r w:rsidRPr="00012DEF">
        <w:rPr>
          <w:rFonts w:ascii="Arial" w:eastAsia="Arial" w:hAnsi="Arial" w:cs="Arial"/>
          <w:b/>
          <w:bCs/>
          <w:i/>
          <w:iCs/>
        </w:rPr>
        <w:t>financování jejich nehospodářských činností</w:t>
      </w:r>
      <w:r w:rsidRPr="00012DEF">
        <w:rPr>
          <w:rFonts w:ascii="Arial" w:eastAsia="Arial" w:hAnsi="Arial" w:cs="Arial"/>
          <w:i/>
          <w:iCs/>
        </w:rPr>
        <w:t xml:space="preserve"> podle odst. 19 Rámce pro státní podporu výzkumu, vývoje a inovací (2014/C 198/01). Pokud budou příjemci podpory, resp. další účastníci věcně příslušných projektů podpory – tzn. organizace pro výzkum a šíření znalostí – vykonávat hospodářské činnosti, budou tyto </w:t>
      </w:r>
      <w:r w:rsidRPr="00012DEF">
        <w:rPr>
          <w:rFonts w:ascii="Arial" w:eastAsia="Arial" w:hAnsi="Arial" w:cs="Arial"/>
          <w:b/>
          <w:bCs/>
          <w:i/>
          <w:iCs/>
        </w:rPr>
        <w:t>hospodářské činnosti pouze vedlejší povahy</w:t>
      </w:r>
      <w:r w:rsidRPr="00012DEF">
        <w:rPr>
          <w:rFonts w:ascii="Arial" w:eastAsia="Arial" w:hAnsi="Arial" w:cs="Arial"/>
          <w:i/>
          <w:iCs/>
        </w:rPr>
        <w:t xml:space="preserve"> a budou přitom vykazovat doplňkový charakter k hlavním nehospodářským činnostem rozvíjeným na základě odst. 20 Rámce pro státní podporu výzkumu, vývoje a inovací (2014/C 198/01). </w:t>
      </w:r>
      <w:r w:rsidRPr="00012DEF">
        <w:rPr>
          <w:rFonts w:ascii="Arial" w:eastAsia="Arial" w:hAnsi="Arial" w:cs="Arial"/>
          <w:b/>
          <w:bCs/>
          <w:i/>
          <w:iCs/>
        </w:rPr>
        <w:t>Financování velkých výzkumných infrastruktur z prostředků účelové podpory MŠMT tak veřejnou podporu ve smyslu čl. 107 odst. 1 Smlouvy o fungování EU zakládat nebude“.</w:t>
      </w:r>
    </w:p>
    <w:p w:rsidR="00446250" w:rsidRPr="00446250" w:rsidRDefault="00446250" w:rsidP="00446250">
      <w:pPr>
        <w:spacing w:before="120" w:after="120"/>
        <w:jc w:val="both"/>
        <w:rPr>
          <w:rFonts w:ascii="Arial" w:eastAsia="Arial" w:hAnsi="Arial" w:cs="Arial"/>
          <w:bCs/>
          <w:iCs/>
        </w:rPr>
      </w:pPr>
      <w:r w:rsidRPr="004D443D">
        <w:rPr>
          <w:rFonts w:ascii="Arial" w:eastAsia="Arial" w:hAnsi="Arial" w:cs="Arial"/>
          <w:bCs/>
          <w:iCs/>
        </w:rPr>
        <w:t xml:space="preserve">K vypořádání této připomínky Rada na svém 339. zasedání usnesením č. 339/A3 </w:t>
      </w:r>
      <w:r w:rsidRPr="00446250">
        <w:rPr>
          <w:rFonts w:ascii="Arial" w:eastAsia="Arial" w:hAnsi="Arial" w:cs="Arial"/>
        </w:rPr>
        <w:t>zřídila společnou pracovní skupinu pro diskusi nad formou veřejné podpory</w:t>
      </w:r>
      <w:r w:rsidR="004D443D">
        <w:rPr>
          <w:rFonts w:ascii="Arial" w:eastAsia="Arial" w:hAnsi="Arial" w:cs="Arial"/>
        </w:rPr>
        <w:t xml:space="preserve"> v rámci </w:t>
      </w:r>
      <w:r w:rsidR="004D443D">
        <w:rPr>
          <w:rFonts w:ascii="Arial" w:eastAsia="Arial" w:hAnsi="Arial" w:cs="Arial"/>
        </w:rPr>
        <w:lastRenderedPageBreak/>
        <w:t>mezirezortního připomínkového řízení</w:t>
      </w:r>
      <w:r w:rsidRPr="00446250">
        <w:rPr>
          <w:rFonts w:ascii="Arial" w:eastAsia="Arial" w:hAnsi="Arial" w:cs="Arial"/>
        </w:rPr>
        <w:t>.</w:t>
      </w:r>
      <w:r>
        <w:rPr>
          <w:rFonts w:ascii="Arial" w:eastAsia="Arial" w:hAnsi="Arial" w:cs="Arial"/>
        </w:rPr>
        <w:t xml:space="preserve"> Závěry jednání této pracovní skupiny budou do </w:t>
      </w:r>
      <w:r w:rsidR="004D443D">
        <w:rPr>
          <w:rFonts w:ascii="Arial" w:eastAsia="Arial" w:hAnsi="Arial" w:cs="Arial"/>
        </w:rPr>
        <w:t>M</w:t>
      </w:r>
      <w:r>
        <w:rPr>
          <w:rFonts w:ascii="Arial" w:eastAsia="Arial" w:hAnsi="Arial" w:cs="Arial"/>
        </w:rPr>
        <w:t xml:space="preserve">ateriálu zapracovány v rámci vypořádání mezirezortního připomínkového řízení před </w:t>
      </w:r>
      <w:r w:rsidR="004D443D">
        <w:rPr>
          <w:rFonts w:ascii="Arial" w:eastAsia="Arial" w:hAnsi="Arial" w:cs="Arial"/>
        </w:rPr>
        <w:t xml:space="preserve">jeho </w:t>
      </w:r>
      <w:r>
        <w:rPr>
          <w:rFonts w:ascii="Arial" w:eastAsia="Arial" w:hAnsi="Arial" w:cs="Arial"/>
        </w:rPr>
        <w:t>předložením na jednání vlády.</w:t>
      </w:r>
    </w:p>
    <w:p w:rsidR="00446250" w:rsidRPr="00012DEF" w:rsidRDefault="00446250" w:rsidP="002078D4">
      <w:pPr>
        <w:spacing w:before="120" w:after="120"/>
        <w:jc w:val="both"/>
        <w:rPr>
          <w:rFonts w:ascii="Arial" w:eastAsia="Arial" w:hAnsi="Arial" w:cs="Arial"/>
          <w:b/>
          <w:bCs/>
          <w:i/>
          <w:iCs/>
        </w:rPr>
      </w:pPr>
    </w:p>
    <w:p w:rsidR="00604170" w:rsidRDefault="00604170" w:rsidP="002078D4">
      <w:pPr>
        <w:spacing w:before="120" w:after="120"/>
        <w:jc w:val="both"/>
        <w:rPr>
          <w:rFonts w:ascii="Arial" w:eastAsia="Arial" w:hAnsi="Arial" w:cs="Arial"/>
          <w:b/>
        </w:rPr>
      </w:pPr>
    </w:p>
    <w:p w:rsidR="00F60492" w:rsidRPr="00F60492" w:rsidRDefault="00F60492" w:rsidP="00F60492">
      <w:pPr>
        <w:pStyle w:val="Odstavecseseznamem"/>
        <w:numPr>
          <w:ilvl w:val="0"/>
          <w:numId w:val="1"/>
        </w:numPr>
        <w:spacing w:before="120" w:after="120"/>
        <w:jc w:val="both"/>
        <w:rPr>
          <w:rFonts w:ascii="Arial" w:hAnsi="Arial" w:cs="Arial"/>
          <w:b/>
          <w:color w:val="0070C0"/>
        </w:rPr>
      </w:pPr>
      <w:r>
        <w:rPr>
          <w:rFonts w:ascii="Arial" w:hAnsi="Arial" w:cs="Arial"/>
          <w:b/>
          <w:color w:val="0070C0"/>
        </w:rPr>
        <w:t>Závěr</w:t>
      </w:r>
    </w:p>
    <w:p w:rsidR="008A512E" w:rsidRDefault="008A512E" w:rsidP="002078D4">
      <w:pPr>
        <w:spacing w:before="120" w:after="120"/>
        <w:jc w:val="both"/>
        <w:rPr>
          <w:rFonts w:ascii="Arial" w:eastAsia="Arial" w:hAnsi="Arial" w:cs="Arial"/>
        </w:rPr>
      </w:pPr>
      <w:r w:rsidRPr="008A512E">
        <w:rPr>
          <w:rFonts w:ascii="Arial" w:eastAsia="Arial" w:hAnsi="Arial" w:cs="Arial"/>
        </w:rPr>
        <w:t>R</w:t>
      </w:r>
      <w:r w:rsidR="00D005C3">
        <w:rPr>
          <w:rFonts w:ascii="Arial" w:eastAsia="Arial" w:hAnsi="Arial" w:cs="Arial"/>
        </w:rPr>
        <w:t xml:space="preserve">ada </w:t>
      </w:r>
      <w:r w:rsidR="00446250">
        <w:rPr>
          <w:rFonts w:ascii="Arial" w:eastAsia="Arial" w:hAnsi="Arial" w:cs="Arial"/>
        </w:rPr>
        <w:t xml:space="preserve">na svém 339. zasedání zřídila </w:t>
      </w:r>
      <w:r w:rsidR="00AB35AE">
        <w:rPr>
          <w:rFonts w:ascii="Arial" w:eastAsia="Arial" w:hAnsi="Arial" w:cs="Arial"/>
        </w:rPr>
        <w:t>společn</w:t>
      </w:r>
      <w:r w:rsidR="00446250">
        <w:rPr>
          <w:rFonts w:ascii="Arial" w:eastAsia="Arial" w:hAnsi="Arial" w:cs="Arial"/>
        </w:rPr>
        <w:t>ou</w:t>
      </w:r>
      <w:r w:rsidR="00AB35AE">
        <w:rPr>
          <w:rFonts w:ascii="Arial" w:eastAsia="Arial" w:hAnsi="Arial" w:cs="Arial"/>
        </w:rPr>
        <w:t xml:space="preserve"> pracovní skupin</w:t>
      </w:r>
      <w:r w:rsidR="00446250">
        <w:rPr>
          <w:rFonts w:ascii="Arial" w:eastAsia="Arial" w:hAnsi="Arial" w:cs="Arial"/>
        </w:rPr>
        <w:t>u</w:t>
      </w:r>
      <w:r w:rsidR="00AB35AE">
        <w:rPr>
          <w:rFonts w:ascii="Arial" w:eastAsia="Arial" w:hAnsi="Arial" w:cs="Arial"/>
        </w:rPr>
        <w:t xml:space="preserve"> pro diskusi nad formou veřejné podpory</w:t>
      </w:r>
      <w:r w:rsidR="004D443D">
        <w:rPr>
          <w:rFonts w:ascii="Arial" w:eastAsia="Arial" w:hAnsi="Arial" w:cs="Arial"/>
        </w:rPr>
        <w:t xml:space="preserve"> v rámci mezirezortního připomínkového řízení</w:t>
      </w:r>
      <w:r w:rsidR="00AB35AE">
        <w:rPr>
          <w:rFonts w:ascii="Arial" w:eastAsia="Arial" w:hAnsi="Arial" w:cs="Arial"/>
        </w:rPr>
        <w:t>.</w:t>
      </w:r>
    </w:p>
    <w:p w:rsidR="008A512E" w:rsidRDefault="008A512E" w:rsidP="002078D4">
      <w:pPr>
        <w:spacing w:before="120" w:after="120"/>
        <w:jc w:val="both"/>
        <w:rPr>
          <w:rFonts w:ascii="Arial" w:eastAsia="Arial" w:hAnsi="Arial" w:cs="Arial"/>
        </w:rPr>
      </w:pPr>
      <w:r>
        <w:rPr>
          <w:rFonts w:ascii="Arial" w:eastAsia="Arial" w:hAnsi="Arial" w:cs="Arial"/>
        </w:rPr>
        <w:t xml:space="preserve">Po doplnění </w:t>
      </w:r>
      <w:r w:rsidR="004D443D">
        <w:rPr>
          <w:rFonts w:ascii="Arial" w:eastAsia="Arial" w:hAnsi="Arial" w:cs="Arial"/>
        </w:rPr>
        <w:t>M</w:t>
      </w:r>
      <w:r>
        <w:rPr>
          <w:rFonts w:ascii="Arial" w:eastAsia="Arial" w:hAnsi="Arial" w:cs="Arial"/>
        </w:rPr>
        <w:t xml:space="preserve">ateriálu </w:t>
      </w:r>
      <w:r w:rsidR="00446250">
        <w:rPr>
          <w:rFonts w:ascii="Arial" w:eastAsia="Arial" w:hAnsi="Arial" w:cs="Arial"/>
        </w:rPr>
        <w:t xml:space="preserve">o závěry pracovní skupiny </w:t>
      </w:r>
      <w:r>
        <w:rPr>
          <w:rFonts w:ascii="Arial" w:eastAsia="Arial" w:hAnsi="Arial" w:cs="Arial"/>
        </w:rPr>
        <w:t xml:space="preserve">dle předchozího bodu doporučuje Rada vládě </w:t>
      </w:r>
      <w:r w:rsidR="004D443D">
        <w:rPr>
          <w:rFonts w:ascii="Arial" w:eastAsia="Arial" w:hAnsi="Arial" w:cs="Arial"/>
        </w:rPr>
        <w:t>M</w:t>
      </w:r>
      <w:r>
        <w:rPr>
          <w:rFonts w:ascii="Arial" w:eastAsia="Arial" w:hAnsi="Arial" w:cs="Arial"/>
        </w:rPr>
        <w:t>ateriál schválit.</w:t>
      </w:r>
    </w:p>
    <w:p w:rsidR="008A512E" w:rsidRDefault="008A512E" w:rsidP="002078D4">
      <w:pPr>
        <w:spacing w:before="120" w:after="120"/>
        <w:jc w:val="both"/>
        <w:rPr>
          <w:rFonts w:ascii="Arial" w:eastAsia="Arial" w:hAnsi="Arial" w:cs="Arial"/>
        </w:rPr>
      </w:pPr>
    </w:p>
    <w:p w:rsidR="002078D4" w:rsidRPr="00012DEF" w:rsidRDefault="002078D4" w:rsidP="002078D4">
      <w:pPr>
        <w:spacing w:before="120" w:after="120"/>
        <w:jc w:val="both"/>
        <w:rPr>
          <w:rFonts w:ascii="Arial" w:eastAsia="Arial" w:hAnsi="Arial" w:cs="Arial"/>
        </w:rPr>
      </w:pPr>
      <w:r w:rsidRPr="00012DEF">
        <w:rPr>
          <w:rFonts w:ascii="Arial" w:eastAsia="Arial" w:hAnsi="Arial" w:cs="Arial"/>
        </w:rPr>
        <w:t xml:space="preserve">V Praze dne </w:t>
      </w:r>
      <w:r w:rsidR="00446250">
        <w:rPr>
          <w:rFonts w:ascii="Arial" w:eastAsia="Arial" w:hAnsi="Arial" w:cs="Arial"/>
        </w:rPr>
        <w:t>2</w:t>
      </w:r>
      <w:r w:rsidR="004D443D">
        <w:rPr>
          <w:rFonts w:ascii="Arial" w:eastAsia="Arial" w:hAnsi="Arial" w:cs="Arial"/>
        </w:rPr>
        <w:t>6</w:t>
      </w:r>
      <w:r w:rsidR="009A4A3C">
        <w:rPr>
          <w:rFonts w:ascii="Arial" w:eastAsia="Arial" w:hAnsi="Arial" w:cs="Arial"/>
        </w:rPr>
        <w:t>. 10. 2018</w:t>
      </w:r>
    </w:p>
    <w:p w:rsidR="002078D4" w:rsidRPr="00012DEF" w:rsidRDefault="002078D4" w:rsidP="002078D4">
      <w:pPr>
        <w:spacing w:before="120" w:after="120"/>
        <w:jc w:val="both"/>
        <w:rPr>
          <w:rFonts w:ascii="Arial" w:eastAsia="Arial" w:hAnsi="Arial" w:cs="Arial"/>
        </w:rPr>
      </w:pPr>
    </w:p>
    <w:sectPr w:rsidR="002078D4" w:rsidRPr="00012DEF"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3AA" w:rsidRDefault="00A813AA" w:rsidP="008F77F6">
      <w:r>
        <w:separator/>
      </w:r>
    </w:p>
  </w:endnote>
  <w:endnote w:type="continuationSeparator" w:id="0">
    <w:p w:rsidR="00A813AA" w:rsidRDefault="00A813AA"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F63A45" w:rsidP="00D3460A">
    <w:pPr>
      <w:spacing w:before="120" w:after="120"/>
      <w:jc w:val="both"/>
      <w:rPr>
        <w:rFonts w:ascii="Arial" w:hAnsi="Arial" w:cs="Arial"/>
        <w:sz w:val="18"/>
        <w:szCs w:val="18"/>
      </w:rPr>
    </w:pPr>
    <w:r w:rsidRPr="00F63A45">
      <w:rPr>
        <w:rFonts w:ascii="Arial" w:hAnsi="Arial" w:cs="Arial"/>
        <w:sz w:val="18"/>
        <w:szCs w:val="18"/>
      </w:rPr>
      <w:t>Stanovisko Rady pro výzkum, vývoj a inovace k materiálu „Návrhy velkých infrastruktur ke schválení poskytování účelové podpory do roku 2022“</w:t>
    </w:r>
    <w:sdt>
      <w:sdtPr>
        <w:rPr>
          <w:rFonts w:ascii="Arial" w:hAnsi="Arial" w:cs="Arial"/>
          <w:sz w:val="18"/>
          <w:szCs w:val="18"/>
        </w:rPr>
        <w:id w:val="406042188"/>
        <w:docPartObj>
          <w:docPartGallery w:val="Page Numbers (Bottom of Page)"/>
          <w:docPartUnique/>
        </w:docPartObj>
      </w:sdtPr>
      <w:sdtEndPr/>
      <w:sdtContent>
        <w:r w:rsidR="00760845">
          <w:rPr>
            <w:rFonts w:ascii="Arial" w:hAnsi="Arial" w:cs="Arial"/>
            <w:sz w:val="18"/>
            <w:szCs w:val="18"/>
          </w:rPr>
          <w:tab/>
        </w:r>
        <w:r w:rsidR="00760845">
          <w:rPr>
            <w:rFonts w:ascii="Arial" w:hAnsi="Arial" w:cs="Arial"/>
            <w:sz w:val="18"/>
            <w:szCs w:val="18"/>
          </w:rPr>
          <w:tab/>
        </w:r>
        <w:r w:rsidR="00760845">
          <w:rPr>
            <w:rFonts w:ascii="Arial" w:hAnsi="Arial" w:cs="Arial"/>
            <w:sz w:val="18"/>
            <w:szCs w:val="18"/>
          </w:rPr>
          <w:tab/>
        </w:r>
        <w:r w:rsidR="00760845">
          <w:rPr>
            <w:rFonts w:ascii="Arial" w:hAnsi="Arial" w:cs="Arial"/>
            <w:sz w:val="18"/>
            <w:szCs w:val="18"/>
          </w:rPr>
          <w:tab/>
        </w:r>
        <w:r w:rsidR="00760845">
          <w:rPr>
            <w:rFonts w:ascii="Arial" w:hAnsi="Arial" w:cs="Arial"/>
            <w:sz w:val="18"/>
            <w:szCs w:val="18"/>
          </w:rPr>
          <w:tab/>
        </w:r>
        <w:r w:rsidR="00760845">
          <w:rPr>
            <w:rFonts w:ascii="Arial" w:hAnsi="Arial" w:cs="Arial"/>
            <w:sz w:val="18"/>
            <w:szCs w:val="18"/>
          </w:rPr>
          <w:tab/>
        </w:r>
        <w:r w:rsidR="00760845">
          <w:rPr>
            <w:rFonts w:ascii="Arial" w:hAnsi="Arial" w:cs="Arial"/>
            <w:sz w:val="18"/>
            <w:szCs w:val="18"/>
          </w:rPr>
          <w:tab/>
        </w:r>
        <w:r w:rsidR="00760845">
          <w:rPr>
            <w:rFonts w:ascii="Arial" w:hAnsi="Arial" w:cs="Arial"/>
            <w:sz w:val="18"/>
            <w:szCs w:val="18"/>
          </w:rPr>
          <w:tab/>
        </w:r>
        <w:r w:rsidR="00760845">
          <w:rPr>
            <w:rFonts w:ascii="Arial" w:hAnsi="Arial" w:cs="Arial"/>
            <w:sz w:val="18"/>
            <w:szCs w:val="18"/>
          </w:rPr>
          <w:tab/>
          <w:t xml:space="preserve">    </w:t>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E72905">
          <w:rPr>
            <w:rFonts w:ascii="Arial" w:hAnsi="Arial" w:cs="Arial"/>
            <w:noProof/>
            <w:sz w:val="18"/>
            <w:szCs w:val="18"/>
          </w:rPr>
          <w:t>6</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E72905">
          <w:rPr>
            <w:rFonts w:ascii="Arial" w:hAnsi="Arial" w:cs="Arial"/>
            <w:noProof/>
            <w:sz w:val="18"/>
            <w:szCs w:val="18"/>
          </w:rPr>
          <w:t>6</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51605871"/>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0665B6">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0665B6">
          <w:rPr>
            <w:rFonts w:ascii="Arial" w:hAnsi="Arial" w:cs="Arial"/>
            <w:noProof/>
            <w:sz w:val="18"/>
            <w:szCs w:val="18"/>
          </w:rPr>
          <w:t>6</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3AA" w:rsidRDefault="00A813AA" w:rsidP="008F77F6">
      <w:r>
        <w:separator/>
      </w:r>
    </w:p>
  </w:footnote>
  <w:footnote w:type="continuationSeparator" w:id="0">
    <w:p w:rsidR="00A813AA" w:rsidRDefault="00A813AA"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230447D" wp14:editId="50C03C96">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79E123C6" wp14:editId="4D26689A">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992D1E" w:rsidP="00EF794F">
          <w:pPr>
            <w:pStyle w:val="Zhlav"/>
            <w:jc w:val="center"/>
            <w:rPr>
              <w:rFonts w:ascii="Arial" w:hAnsi="Arial" w:cs="Arial"/>
              <w:b/>
              <w:color w:val="0070C0"/>
              <w:sz w:val="28"/>
              <w:szCs w:val="28"/>
            </w:rPr>
          </w:pPr>
          <w:r>
            <w:rPr>
              <w:rFonts w:ascii="Arial" w:hAnsi="Arial" w:cs="Arial"/>
              <w:b/>
              <w:color w:val="0070C0"/>
              <w:sz w:val="28"/>
              <w:szCs w:val="28"/>
            </w:rPr>
            <w:t>33</w:t>
          </w:r>
          <w:r w:rsidR="002078D4">
            <w:rPr>
              <w:rFonts w:ascii="Arial" w:hAnsi="Arial" w:cs="Arial"/>
              <w:b/>
              <w:color w:val="0070C0"/>
              <w:sz w:val="28"/>
              <w:szCs w:val="28"/>
            </w:rPr>
            <w:t>9</w:t>
          </w:r>
          <w:r>
            <w:rPr>
              <w:rFonts w:ascii="Arial" w:hAnsi="Arial" w:cs="Arial"/>
              <w:b/>
              <w:color w:val="0070C0"/>
              <w:sz w:val="28"/>
              <w:szCs w:val="28"/>
            </w:rPr>
            <w:t>/A</w:t>
          </w:r>
          <w:r w:rsidR="002078D4">
            <w:rPr>
              <w:rFonts w:ascii="Arial" w:hAnsi="Arial" w:cs="Arial"/>
              <w:b/>
              <w:color w:val="0070C0"/>
              <w:sz w:val="28"/>
              <w:szCs w:val="28"/>
            </w:rPr>
            <w:t>3</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423F"/>
    <w:multiLevelType w:val="hybridMultilevel"/>
    <w:tmpl w:val="FA5883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nsid w:val="0F642D2E"/>
    <w:multiLevelType w:val="hybridMultilevel"/>
    <w:tmpl w:val="9F9A7544"/>
    <w:lvl w:ilvl="0" w:tplc="BBF669B0">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1A5D0CBE"/>
    <w:multiLevelType w:val="hybridMultilevel"/>
    <w:tmpl w:val="FADC86F6"/>
    <w:lvl w:ilvl="0" w:tplc="8E945F7A">
      <w:start w:val="1"/>
      <w:numFmt w:val="upperRoman"/>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84240F"/>
    <w:multiLevelType w:val="hybridMultilevel"/>
    <w:tmpl w:val="5750ED28"/>
    <w:lvl w:ilvl="0" w:tplc="04050011">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7">
    <w:nsid w:val="33E6382D"/>
    <w:multiLevelType w:val="multilevel"/>
    <w:tmpl w:val="A07C48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D937195"/>
    <w:multiLevelType w:val="hybridMultilevel"/>
    <w:tmpl w:val="019AB7B2"/>
    <w:lvl w:ilvl="0" w:tplc="9CEA3D9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7F24131"/>
    <w:multiLevelType w:val="multilevel"/>
    <w:tmpl w:val="52D420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C7F6F51"/>
    <w:multiLevelType w:val="hybridMultilevel"/>
    <w:tmpl w:val="B2607E4A"/>
    <w:lvl w:ilvl="0" w:tplc="8E945F7A">
      <w:start w:val="1"/>
      <w:numFmt w:val="upperRoman"/>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D4227B6"/>
    <w:multiLevelType w:val="hybridMultilevel"/>
    <w:tmpl w:val="631229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658B4933"/>
    <w:multiLevelType w:val="hybridMultilevel"/>
    <w:tmpl w:val="9F9A7544"/>
    <w:lvl w:ilvl="0" w:tplc="BBF669B0">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5">
    <w:nsid w:val="6A8671E2"/>
    <w:multiLevelType w:val="hybridMultilevel"/>
    <w:tmpl w:val="2CFE91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nsid w:val="76A6155E"/>
    <w:multiLevelType w:val="hybridMultilevel"/>
    <w:tmpl w:val="6B48444E"/>
    <w:lvl w:ilvl="0" w:tplc="BBF669B0">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7">
    <w:nsid w:val="78842A52"/>
    <w:multiLevelType w:val="hybridMultilevel"/>
    <w:tmpl w:val="ED4C2624"/>
    <w:lvl w:ilvl="0" w:tplc="9E2EE79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D24233D"/>
    <w:multiLevelType w:val="hybridMultilevel"/>
    <w:tmpl w:val="C540C094"/>
    <w:lvl w:ilvl="0" w:tplc="8E945F7A">
      <w:start w:val="1"/>
      <w:numFmt w:val="upperRoman"/>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D835EAE"/>
    <w:multiLevelType w:val="hybridMultilevel"/>
    <w:tmpl w:val="E4F405C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0">
    <w:nsid w:val="7FB93B42"/>
    <w:multiLevelType w:val="hybridMultilevel"/>
    <w:tmpl w:val="386A8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8"/>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8"/>
  </w:num>
  <w:num w:numId="4">
    <w:abstractNumId w:val="1"/>
  </w:num>
  <w:num w:numId="5">
    <w:abstractNumId w:val="18"/>
  </w:num>
  <w:num w:numId="6">
    <w:abstractNumId w:val="13"/>
  </w:num>
  <w:num w:numId="7">
    <w:abstractNumId w:val="3"/>
  </w:num>
  <w:num w:numId="8">
    <w:abstractNumId w:val="9"/>
  </w:num>
  <w:num w:numId="9">
    <w:abstractNumId w:val="7"/>
  </w:num>
  <w:num w:numId="10">
    <w:abstractNumId w:val="10"/>
  </w:num>
  <w:num w:numId="11">
    <w:abstractNumId w:val="6"/>
  </w:num>
  <w:num w:numId="12">
    <w:abstractNumId w:val="11"/>
  </w:num>
  <w:num w:numId="13">
    <w:abstractNumId w:val="16"/>
  </w:num>
  <w:num w:numId="14">
    <w:abstractNumId w:val="15"/>
  </w:num>
  <w:num w:numId="15">
    <w:abstractNumId w:val="5"/>
  </w:num>
  <w:num w:numId="16">
    <w:abstractNumId w:val="4"/>
  </w:num>
  <w:num w:numId="17">
    <w:abstractNumId w:val="17"/>
  </w:num>
  <w:num w:numId="18">
    <w:abstractNumId w:val="19"/>
  </w:num>
  <w:num w:numId="19">
    <w:abstractNumId w:val="0"/>
  </w:num>
  <w:num w:numId="20">
    <w:abstractNumId w:val="20"/>
  </w:num>
  <w:num w:numId="21">
    <w:abstractNumId w:val="12"/>
  </w:num>
  <w:num w:numId="2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00B1E"/>
    <w:rsid w:val="00003228"/>
    <w:rsid w:val="00005EDE"/>
    <w:rsid w:val="00010B56"/>
    <w:rsid w:val="00012560"/>
    <w:rsid w:val="00012DEF"/>
    <w:rsid w:val="00016490"/>
    <w:rsid w:val="000204F5"/>
    <w:rsid w:val="000226BE"/>
    <w:rsid w:val="000227AD"/>
    <w:rsid w:val="000236DF"/>
    <w:rsid w:val="00023EE9"/>
    <w:rsid w:val="000337B3"/>
    <w:rsid w:val="00033E73"/>
    <w:rsid w:val="00034CD4"/>
    <w:rsid w:val="00034E0C"/>
    <w:rsid w:val="00036C60"/>
    <w:rsid w:val="00043918"/>
    <w:rsid w:val="00046964"/>
    <w:rsid w:val="000471B5"/>
    <w:rsid w:val="000507A7"/>
    <w:rsid w:val="00055E92"/>
    <w:rsid w:val="00057085"/>
    <w:rsid w:val="00057983"/>
    <w:rsid w:val="00061AF3"/>
    <w:rsid w:val="000636E2"/>
    <w:rsid w:val="00065FF7"/>
    <w:rsid w:val="000665B6"/>
    <w:rsid w:val="00071E29"/>
    <w:rsid w:val="00072DB7"/>
    <w:rsid w:val="00073E19"/>
    <w:rsid w:val="000831BC"/>
    <w:rsid w:val="0009406F"/>
    <w:rsid w:val="00094909"/>
    <w:rsid w:val="00095280"/>
    <w:rsid w:val="00097D68"/>
    <w:rsid w:val="000A27FD"/>
    <w:rsid w:val="000A283B"/>
    <w:rsid w:val="000A29D7"/>
    <w:rsid w:val="000A5BBC"/>
    <w:rsid w:val="000A5BD0"/>
    <w:rsid w:val="000A6A10"/>
    <w:rsid w:val="000A72AD"/>
    <w:rsid w:val="000B2D25"/>
    <w:rsid w:val="000B672D"/>
    <w:rsid w:val="000B71C9"/>
    <w:rsid w:val="000B7275"/>
    <w:rsid w:val="000C0819"/>
    <w:rsid w:val="000C0AEB"/>
    <w:rsid w:val="000C2777"/>
    <w:rsid w:val="000C294A"/>
    <w:rsid w:val="000C4A33"/>
    <w:rsid w:val="000C6BE5"/>
    <w:rsid w:val="000D36D5"/>
    <w:rsid w:val="000D3AF3"/>
    <w:rsid w:val="000D407A"/>
    <w:rsid w:val="000D5491"/>
    <w:rsid w:val="000D55B9"/>
    <w:rsid w:val="000D797D"/>
    <w:rsid w:val="000E775B"/>
    <w:rsid w:val="000F5145"/>
    <w:rsid w:val="000F7387"/>
    <w:rsid w:val="00103B5A"/>
    <w:rsid w:val="00104419"/>
    <w:rsid w:val="001116DB"/>
    <w:rsid w:val="00113281"/>
    <w:rsid w:val="00122102"/>
    <w:rsid w:val="001239EC"/>
    <w:rsid w:val="001311D9"/>
    <w:rsid w:val="001329AD"/>
    <w:rsid w:val="00134AB8"/>
    <w:rsid w:val="00137469"/>
    <w:rsid w:val="001420BD"/>
    <w:rsid w:val="00145E4B"/>
    <w:rsid w:val="00155707"/>
    <w:rsid w:val="00156958"/>
    <w:rsid w:val="00157F91"/>
    <w:rsid w:val="00157FA2"/>
    <w:rsid w:val="001622FD"/>
    <w:rsid w:val="0016389F"/>
    <w:rsid w:val="00165472"/>
    <w:rsid w:val="00165529"/>
    <w:rsid w:val="00171680"/>
    <w:rsid w:val="00172C14"/>
    <w:rsid w:val="001776F2"/>
    <w:rsid w:val="00191C13"/>
    <w:rsid w:val="00196263"/>
    <w:rsid w:val="001A0A6A"/>
    <w:rsid w:val="001B2C32"/>
    <w:rsid w:val="001B4AE4"/>
    <w:rsid w:val="001B7F9C"/>
    <w:rsid w:val="001C0C52"/>
    <w:rsid w:val="001C1730"/>
    <w:rsid w:val="001C5BAB"/>
    <w:rsid w:val="001D02AC"/>
    <w:rsid w:val="001D5158"/>
    <w:rsid w:val="001D6BC2"/>
    <w:rsid w:val="001D6DAA"/>
    <w:rsid w:val="001D6FAD"/>
    <w:rsid w:val="001D724F"/>
    <w:rsid w:val="001E6188"/>
    <w:rsid w:val="001E76ED"/>
    <w:rsid w:val="001E794E"/>
    <w:rsid w:val="001F3400"/>
    <w:rsid w:val="001F54C9"/>
    <w:rsid w:val="001F5652"/>
    <w:rsid w:val="001F7D15"/>
    <w:rsid w:val="0020124C"/>
    <w:rsid w:val="00203A78"/>
    <w:rsid w:val="002078D4"/>
    <w:rsid w:val="00210960"/>
    <w:rsid w:val="002143F0"/>
    <w:rsid w:val="002223BF"/>
    <w:rsid w:val="00223EE3"/>
    <w:rsid w:val="00225139"/>
    <w:rsid w:val="00227A1B"/>
    <w:rsid w:val="00237006"/>
    <w:rsid w:val="0024039E"/>
    <w:rsid w:val="002551EE"/>
    <w:rsid w:val="00256B33"/>
    <w:rsid w:val="00257696"/>
    <w:rsid w:val="00265A36"/>
    <w:rsid w:val="00267BED"/>
    <w:rsid w:val="002735E0"/>
    <w:rsid w:val="00277193"/>
    <w:rsid w:val="002807F8"/>
    <w:rsid w:val="00287412"/>
    <w:rsid w:val="002936AE"/>
    <w:rsid w:val="0029614C"/>
    <w:rsid w:val="002A315B"/>
    <w:rsid w:val="002A3AEC"/>
    <w:rsid w:val="002B4879"/>
    <w:rsid w:val="002C05DA"/>
    <w:rsid w:val="002C4087"/>
    <w:rsid w:val="002C54A1"/>
    <w:rsid w:val="002C6DE1"/>
    <w:rsid w:val="002D018B"/>
    <w:rsid w:val="002D0E86"/>
    <w:rsid w:val="002D0FBB"/>
    <w:rsid w:val="002D4844"/>
    <w:rsid w:val="002D4F83"/>
    <w:rsid w:val="002D5F7F"/>
    <w:rsid w:val="002E2591"/>
    <w:rsid w:val="002F530A"/>
    <w:rsid w:val="002F6F8A"/>
    <w:rsid w:val="00301405"/>
    <w:rsid w:val="003029DE"/>
    <w:rsid w:val="00311735"/>
    <w:rsid w:val="00316FC8"/>
    <w:rsid w:val="003179DD"/>
    <w:rsid w:val="00327391"/>
    <w:rsid w:val="00327F1A"/>
    <w:rsid w:val="00330034"/>
    <w:rsid w:val="00330CA0"/>
    <w:rsid w:val="00330D60"/>
    <w:rsid w:val="00333174"/>
    <w:rsid w:val="00346D34"/>
    <w:rsid w:val="00351C9D"/>
    <w:rsid w:val="003557FD"/>
    <w:rsid w:val="00356D9D"/>
    <w:rsid w:val="00356F11"/>
    <w:rsid w:val="003578D2"/>
    <w:rsid w:val="00357E5E"/>
    <w:rsid w:val="00360293"/>
    <w:rsid w:val="00363304"/>
    <w:rsid w:val="0037016F"/>
    <w:rsid w:val="003704AE"/>
    <w:rsid w:val="00370E0D"/>
    <w:rsid w:val="00371B1C"/>
    <w:rsid w:val="003723F0"/>
    <w:rsid w:val="0037371B"/>
    <w:rsid w:val="003773A9"/>
    <w:rsid w:val="00381FC2"/>
    <w:rsid w:val="00387B05"/>
    <w:rsid w:val="00394B19"/>
    <w:rsid w:val="003A281B"/>
    <w:rsid w:val="003A2D00"/>
    <w:rsid w:val="003A3070"/>
    <w:rsid w:val="003A4CFE"/>
    <w:rsid w:val="003C2A8E"/>
    <w:rsid w:val="003C519C"/>
    <w:rsid w:val="003C52C5"/>
    <w:rsid w:val="003C6AF4"/>
    <w:rsid w:val="003D331F"/>
    <w:rsid w:val="003D33E1"/>
    <w:rsid w:val="003D4AC4"/>
    <w:rsid w:val="003D4FD2"/>
    <w:rsid w:val="003D789A"/>
    <w:rsid w:val="003F1FC8"/>
    <w:rsid w:val="003F5856"/>
    <w:rsid w:val="003F75E8"/>
    <w:rsid w:val="0040106A"/>
    <w:rsid w:val="00401486"/>
    <w:rsid w:val="00401B18"/>
    <w:rsid w:val="00401DF3"/>
    <w:rsid w:val="004066A6"/>
    <w:rsid w:val="0041023A"/>
    <w:rsid w:val="0041453C"/>
    <w:rsid w:val="00420DA7"/>
    <w:rsid w:val="004225FE"/>
    <w:rsid w:val="0042600A"/>
    <w:rsid w:val="00427151"/>
    <w:rsid w:val="004348D9"/>
    <w:rsid w:val="0044233D"/>
    <w:rsid w:val="00442ACA"/>
    <w:rsid w:val="00446250"/>
    <w:rsid w:val="00447554"/>
    <w:rsid w:val="004571D0"/>
    <w:rsid w:val="00457BE5"/>
    <w:rsid w:val="00462DFB"/>
    <w:rsid w:val="004636DD"/>
    <w:rsid w:val="00465972"/>
    <w:rsid w:val="00467196"/>
    <w:rsid w:val="004704D5"/>
    <w:rsid w:val="0047132A"/>
    <w:rsid w:val="00471871"/>
    <w:rsid w:val="00471DE1"/>
    <w:rsid w:val="004732B0"/>
    <w:rsid w:val="00474D68"/>
    <w:rsid w:val="0048222D"/>
    <w:rsid w:val="0048450E"/>
    <w:rsid w:val="00484810"/>
    <w:rsid w:val="00485A47"/>
    <w:rsid w:val="004A1DA6"/>
    <w:rsid w:val="004A2EA2"/>
    <w:rsid w:val="004A31B5"/>
    <w:rsid w:val="004A4BBD"/>
    <w:rsid w:val="004A7734"/>
    <w:rsid w:val="004B01E2"/>
    <w:rsid w:val="004B2C2B"/>
    <w:rsid w:val="004B398E"/>
    <w:rsid w:val="004D443D"/>
    <w:rsid w:val="004D5EDD"/>
    <w:rsid w:val="004F0338"/>
    <w:rsid w:val="004F3897"/>
    <w:rsid w:val="004F5E61"/>
    <w:rsid w:val="005007BB"/>
    <w:rsid w:val="0050093F"/>
    <w:rsid w:val="00502882"/>
    <w:rsid w:val="00510F08"/>
    <w:rsid w:val="0051425F"/>
    <w:rsid w:val="00515CDD"/>
    <w:rsid w:val="00520AC1"/>
    <w:rsid w:val="00521430"/>
    <w:rsid w:val="00522D1F"/>
    <w:rsid w:val="00524432"/>
    <w:rsid w:val="00536895"/>
    <w:rsid w:val="00543B26"/>
    <w:rsid w:val="00545F99"/>
    <w:rsid w:val="00547495"/>
    <w:rsid w:val="00552032"/>
    <w:rsid w:val="005533C8"/>
    <w:rsid w:val="00556E07"/>
    <w:rsid w:val="00562B58"/>
    <w:rsid w:val="00564798"/>
    <w:rsid w:val="005649B7"/>
    <w:rsid w:val="00571DC4"/>
    <w:rsid w:val="00573062"/>
    <w:rsid w:val="00580613"/>
    <w:rsid w:val="00580726"/>
    <w:rsid w:val="00582077"/>
    <w:rsid w:val="00582213"/>
    <w:rsid w:val="0058484D"/>
    <w:rsid w:val="0058713F"/>
    <w:rsid w:val="00597898"/>
    <w:rsid w:val="005A035E"/>
    <w:rsid w:val="005B644A"/>
    <w:rsid w:val="005B6556"/>
    <w:rsid w:val="005C1664"/>
    <w:rsid w:val="005C3E1F"/>
    <w:rsid w:val="005C563E"/>
    <w:rsid w:val="005C7598"/>
    <w:rsid w:val="005D4B41"/>
    <w:rsid w:val="005D4D5A"/>
    <w:rsid w:val="005D7DC9"/>
    <w:rsid w:val="005E43C2"/>
    <w:rsid w:val="005E5800"/>
    <w:rsid w:val="005E6672"/>
    <w:rsid w:val="005F32A7"/>
    <w:rsid w:val="005F3F8D"/>
    <w:rsid w:val="005F7D1A"/>
    <w:rsid w:val="006021B7"/>
    <w:rsid w:val="00604170"/>
    <w:rsid w:val="00611E9C"/>
    <w:rsid w:val="00613258"/>
    <w:rsid w:val="00616978"/>
    <w:rsid w:val="00623440"/>
    <w:rsid w:val="00630B5C"/>
    <w:rsid w:val="00631E5E"/>
    <w:rsid w:val="00632B6A"/>
    <w:rsid w:val="00633048"/>
    <w:rsid w:val="00635659"/>
    <w:rsid w:val="00637376"/>
    <w:rsid w:val="00647196"/>
    <w:rsid w:val="00657701"/>
    <w:rsid w:val="00657AB6"/>
    <w:rsid w:val="006652E4"/>
    <w:rsid w:val="00672354"/>
    <w:rsid w:val="00674BCD"/>
    <w:rsid w:val="0068373C"/>
    <w:rsid w:val="00691CE7"/>
    <w:rsid w:val="00693042"/>
    <w:rsid w:val="006A0620"/>
    <w:rsid w:val="006A63AE"/>
    <w:rsid w:val="006A7270"/>
    <w:rsid w:val="006B070A"/>
    <w:rsid w:val="006C1CA7"/>
    <w:rsid w:val="006C225B"/>
    <w:rsid w:val="006C45C1"/>
    <w:rsid w:val="006D3CD8"/>
    <w:rsid w:val="006F13A1"/>
    <w:rsid w:val="006F2FEA"/>
    <w:rsid w:val="006F5A46"/>
    <w:rsid w:val="00705651"/>
    <w:rsid w:val="007066FD"/>
    <w:rsid w:val="0071184D"/>
    <w:rsid w:val="00713CC5"/>
    <w:rsid w:val="0071695C"/>
    <w:rsid w:val="0071750F"/>
    <w:rsid w:val="007178DD"/>
    <w:rsid w:val="0071790F"/>
    <w:rsid w:val="00720790"/>
    <w:rsid w:val="007217D3"/>
    <w:rsid w:val="00723541"/>
    <w:rsid w:val="00725F7F"/>
    <w:rsid w:val="00731806"/>
    <w:rsid w:val="00736821"/>
    <w:rsid w:val="007407BD"/>
    <w:rsid w:val="00743FAD"/>
    <w:rsid w:val="0074400F"/>
    <w:rsid w:val="00745526"/>
    <w:rsid w:val="00747426"/>
    <w:rsid w:val="00752226"/>
    <w:rsid w:val="00754D4D"/>
    <w:rsid w:val="007563E2"/>
    <w:rsid w:val="00760845"/>
    <w:rsid w:val="00765DD0"/>
    <w:rsid w:val="00767640"/>
    <w:rsid w:val="0077340C"/>
    <w:rsid w:val="00774201"/>
    <w:rsid w:val="00776FC3"/>
    <w:rsid w:val="00780E3B"/>
    <w:rsid w:val="00790503"/>
    <w:rsid w:val="00792DFC"/>
    <w:rsid w:val="00793521"/>
    <w:rsid w:val="00796D38"/>
    <w:rsid w:val="007A0CC7"/>
    <w:rsid w:val="007A28B0"/>
    <w:rsid w:val="007B19CF"/>
    <w:rsid w:val="007B1BC4"/>
    <w:rsid w:val="007C562F"/>
    <w:rsid w:val="007D1FA5"/>
    <w:rsid w:val="007D3C97"/>
    <w:rsid w:val="007D6473"/>
    <w:rsid w:val="007E0AD0"/>
    <w:rsid w:val="007E0E3E"/>
    <w:rsid w:val="007E44B6"/>
    <w:rsid w:val="007E4690"/>
    <w:rsid w:val="007E66C5"/>
    <w:rsid w:val="007F14C9"/>
    <w:rsid w:val="00800490"/>
    <w:rsid w:val="00803135"/>
    <w:rsid w:val="00803326"/>
    <w:rsid w:val="00804B54"/>
    <w:rsid w:val="00810AA0"/>
    <w:rsid w:val="00812526"/>
    <w:rsid w:val="00814A5F"/>
    <w:rsid w:val="00826E1D"/>
    <w:rsid w:val="00830789"/>
    <w:rsid w:val="00833098"/>
    <w:rsid w:val="008341FE"/>
    <w:rsid w:val="00836D24"/>
    <w:rsid w:val="008374EA"/>
    <w:rsid w:val="00850745"/>
    <w:rsid w:val="00852594"/>
    <w:rsid w:val="00852719"/>
    <w:rsid w:val="00856ADE"/>
    <w:rsid w:val="0085744F"/>
    <w:rsid w:val="008615D2"/>
    <w:rsid w:val="00863B12"/>
    <w:rsid w:val="008709EB"/>
    <w:rsid w:val="00871C75"/>
    <w:rsid w:val="00872589"/>
    <w:rsid w:val="0087519D"/>
    <w:rsid w:val="008855B5"/>
    <w:rsid w:val="0088706C"/>
    <w:rsid w:val="0088790F"/>
    <w:rsid w:val="0089176C"/>
    <w:rsid w:val="0089778D"/>
    <w:rsid w:val="008A349D"/>
    <w:rsid w:val="008A512E"/>
    <w:rsid w:val="008C1300"/>
    <w:rsid w:val="008C6068"/>
    <w:rsid w:val="008C6CEF"/>
    <w:rsid w:val="008D0383"/>
    <w:rsid w:val="008D26AB"/>
    <w:rsid w:val="008D3619"/>
    <w:rsid w:val="008D4DC0"/>
    <w:rsid w:val="008D6E15"/>
    <w:rsid w:val="008D7E37"/>
    <w:rsid w:val="008E102C"/>
    <w:rsid w:val="008E4ED5"/>
    <w:rsid w:val="008E6F5D"/>
    <w:rsid w:val="008F3B85"/>
    <w:rsid w:val="008F4E72"/>
    <w:rsid w:val="008F77F6"/>
    <w:rsid w:val="008F7937"/>
    <w:rsid w:val="0090372F"/>
    <w:rsid w:val="00914F0E"/>
    <w:rsid w:val="00920952"/>
    <w:rsid w:val="00920D4A"/>
    <w:rsid w:val="0092157D"/>
    <w:rsid w:val="00923F26"/>
    <w:rsid w:val="00926863"/>
    <w:rsid w:val="0093089A"/>
    <w:rsid w:val="009327A9"/>
    <w:rsid w:val="00941EA3"/>
    <w:rsid w:val="0094295B"/>
    <w:rsid w:val="00951C38"/>
    <w:rsid w:val="009547B3"/>
    <w:rsid w:val="00956725"/>
    <w:rsid w:val="00956941"/>
    <w:rsid w:val="009577A5"/>
    <w:rsid w:val="00961D67"/>
    <w:rsid w:val="00965DE7"/>
    <w:rsid w:val="00974428"/>
    <w:rsid w:val="009758E5"/>
    <w:rsid w:val="00982849"/>
    <w:rsid w:val="00987AE1"/>
    <w:rsid w:val="00991BF3"/>
    <w:rsid w:val="009921F3"/>
    <w:rsid w:val="00992D1E"/>
    <w:rsid w:val="00994F0A"/>
    <w:rsid w:val="0099502F"/>
    <w:rsid w:val="00996BC0"/>
    <w:rsid w:val="009A1F6D"/>
    <w:rsid w:val="009A4A3C"/>
    <w:rsid w:val="009A54EF"/>
    <w:rsid w:val="009A5715"/>
    <w:rsid w:val="009A674C"/>
    <w:rsid w:val="009A6C36"/>
    <w:rsid w:val="009B37F9"/>
    <w:rsid w:val="009B4A48"/>
    <w:rsid w:val="009B73B4"/>
    <w:rsid w:val="009C23B2"/>
    <w:rsid w:val="009D15D9"/>
    <w:rsid w:val="009D1BE0"/>
    <w:rsid w:val="009D45D6"/>
    <w:rsid w:val="009D66AA"/>
    <w:rsid w:val="009E6E0B"/>
    <w:rsid w:val="009E787E"/>
    <w:rsid w:val="009F6828"/>
    <w:rsid w:val="00A00F56"/>
    <w:rsid w:val="00A10366"/>
    <w:rsid w:val="00A13DD5"/>
    <w:rsid w:val="00A16E9E"/>
    <w:rsid w:val="00A22273"/>
    <w:rsid w:val="00A30498"/>
    <w:rsid w:val="00A31635"/>
    <w:rsid w:val="00A33D82"/>
    <w:rsid w:val="00A35C53"/>
    <w:rsid w:val="00A40E47"/>
    <w:rsid w:val="00A46558"/>
    <w:rsid w:val="00A509CE"/>
    <w:rsid w:val="00A52DCD"/>
    <w:rsid w:val="00A5304E"/>
    <w:rsid w:val="00A6280A"/>
    <w:rsid w:val="00A62839"/>
    <w:rsid w:val="00A63C68"/>
    <w:rsid w:val="00A674A7"/>
    <w:rsid w:val="00A71956"/>
    <w:rsid w:val="00A7223F"/>
    <w:rsid w:val="00A75F68"/>
    <w:rsid w:val="00A80AA9"/>
    <w:rsid w:val="00A813AA"/>
    <w:rsid w:val="00A81A8B"/>
    <w:rsid w:val="00A828DC"/>
    <w:rsid w:val="00A82B2A"/>
    <w:rsid w:val="00A833B8"/>
    <w:rsid w:val="00A83475"/>
    <w:rsid w:val="00A83944"/>
    <w:rsid w:val="00A923AA"/>
    <w:rsid w:val="00A926BD"/>
    <w:rsid w:val="00A95F6C"/>
    <w:rsid w:val="00AA3EDD"/>
    <w:rsid w:val="00AA6A69"/>
    <w:rsid w:val="00AB2174"/>
    <w:rsid w:val="00AB35AE"/>
    <w:rsid w:val="00AB376F"/>
    <w:rsid w:val="00AB3883"/>
    <w:rsid w:val="00AC3573"/>
    <w:rsid w:val="00AC46AB"/>
    <w:rsid w:val="00AC5AA2"/>
    <w:rsid w:val="00AD0F20"/>
    <w:rsid w:val="00AD5458"/>
    <w:rsid w:val="00AE64B9"/>
    <w:rsid w:val="00AE67A4"/>
    <w:rsid w:val="00AF11E9"/>
    <w:rsid w:val="00AF56BB"/>
    <w:rsid w:val="00AF6FA5"/>
    <w:rsid w:val="00B0059D"/>
    <w:rsid w:val="00B03049"/>
    <w:rsid w:val="00B0327E"/>
    <w:rsid w:val="00B119FC"/>
    <w:rsid w:val="00B13B82"/>
    <w:rsid w:val="00B21311"/>
    <w:rsid w:val="00B22EEC"/>
    <w:rsid w:val="00B23C06"/>
    <w:rsid w:val="00B24392"/>
    <w:rsid w:val="00B26614"/>
    <w:rsid w:val="00B33CC6"/>
    <w:rsid w:val="00B343F2"/>
    <w:rsid w:val="00B40A2E"/>
    <w:rsid w:val="00B44812"/>
    <w:rsid w:val="00B451E2"/>
    <w:rsid w:val="00B45C4C"/>
    <w:rsid w:val="00B47221"/>
    <w:rsid w:val="00B51119"/>
    <w:rsid w:val="00B5354A"/>
    <w:rsid w:val="00B565D7"/>
    <w:rsid w:val="00B607EC"/>
    <w:rsid w:val="00B60C51"/>
    <w:rsid w:val="00B6473A"/>
    <w:rsid w:val="00B649A8"/>
    <w:rsid w:val="00B71554"/>
    <w:rsid w:val="00B73384"/>
    <w:rsid w:val="00B75E94"/>
    <w:rsid w:val="00B77E2C"/>
    <w:rsid w:val="00B80982"/>
    <w:rsid w:val="00B83464"/>
    <w:rsid w:val="00B84C6F"/>
    <w:rsid w:val="00B90AD7"/>
    <w:rsid w:val="00B92BC6"/>
    <w:rsid w:val="00B93C97"/>
    <w:rsid w:val="00B93D2C"/>
    <w:rsid w:val="00B94122"/>
    <w:rsid w:val="00B9623D"/>
    <w:rsid w:val="00BA1D20"/>
    <w:rsid w:val="00BA441F"/>
    <w:rsid w:val="00BA504D"/>
    <w:rsid w:val="00BB2419"/>
    <w:rsid w:val="00BC18FD"/>
    <w:rsid w:val="00BC3AB3"/>
    <w:rsid w:val="00BC5DB0"/>
    <w:rsid w:val="00BC643D"/>
    <w:rsid w:val="00BD0A1A"/>
    <w:rsid w:val="00BD1A7C"/>
    <w:rsid w:val="00BD36C5"/>
    <w:rsid w:val="00BD43BC"/>
    <w:rsid w:val="00BD790D"/>
    <w:rsid w:val="00BE1919"/>
    <w:rsid w:val="00BE2027"/>
    <w:rsid w:val="00BE2942"/>
    <w:rsid w:val="00BE449F"/>
    <w:rsid w:val="00BE4538"/>
    <w:rsid w:val="00BF2A50"/>
    <w:rsid w:val="00BF4656"/>
    <w:rsid w:val="00BF4A32"/>
    <w:rsid w:val="00C01BDD"/>
    <w:rsid w:val="00C076B8"/>
    <w:rsid w:val="00C11AF1"/>
    <w:rsid w:val="00C12528"/>
    <w:rsid w:val="00C22212"/>
    <w:rsid w:val="00C25B36"/>
    <w:rsid w:val="00C31178"/>
    <w:rsid w:val="00C31F7F"/>
    <w:rsid w:val="00C33C8E"/>
    <w:rsid w:val="00C373A4"/>
    <w:rsid w:val="00C403AA"/>
    <w:rsid w:val="00C41A66"/>
    <w:rsid w:val="00C42AE3"/>
    <w:rsid w:val="00C43D8D"/>
    <w:rsid w:val="00C51C30"/>
    <w:rsid w:val="00C61FF9"/>
    <w:rsid w:val="00C62FF2"/>
    <w:rsid w:val="00C64C34"/>
    <w:rsid w:val="00C650A4"/>
    <w:rsid w:val="00C65412"/>
    <w:rsid w:val="00C751A5"/>
    <w:rsid w:val="00C8048C"/>
    <w:rsid w:val="00C81C41"/>
    <w:rsid w:val="00C85296"/>
    <w:rsid w:val="00C86BAF"/>
    <w:rsid w:val="00C87282"/>
    <w:rsid w:val="00C87669"/>
    <w:rsid w:val="00C9143C"/>
    <w:rsid w:val="00C93F8D"/>
    <w:rsid w:val="00C9532F"/>
    <w:rsid w:val="00CC1317"/>
    <w:rsid w:val="00CC2688"/>
    <w:rsid w:val="00CC370F"/>
    <w:rsid w:val="00CC3B87"/>
    <w:rsid w:val="00CC46A1"/>
    <w:rsid w:val="00CC5F73"/>
    <w:rsid w:val="00CC6206"/>
    <w:rsid w:val="00CD02DE"/>
    <w:rsid w:val="00CD09DD"/>
    <w:rsid w:val="00CD3D45"/>
    <w:rsid w:val="00CD4315"/>
    <w:rsid w:val="00CD5E02"/>
    <w:rsid w:val="00CD68C9"/>
    <w:rsid w:val="00CE35C6"/>
    <w:rsid w:val="00CE5CC3"/>
    <w:rsid w:val="00CE674A"/>
    <w:rsid w:val="00CF0C80"/>
    <w:rsid w:val="00CF37EC"/>
    <w:rsid w:val="00CF4B63"/>
    <w:rsid w:val="00D005C3"/>
    <w:rsid w:val="00D030BA"/>
    <w:rsid w:val="00D0409A"/>
    <w:rsid w:val="00D049A0"/>
    <w:rsid w:val="00D057B1"/>
    <w:rsid w:val="00D05AA9"/>
    <w:rsid w:val="00D060BC"/>
    <w:rsid w:val="00D122E2"/>
    <w:rsid w:val="00D14639"/>
    <w:rsid w:val="00D166C9"/>
    <w:rsid w:val="00D2025B"/>
    <w:rsid w:val="00D23B86"/>
    <w:rsid w:val="00D23BB7"/>
    <w:rsid w:val="00D3460A"/>
    <w:rsid w:val="00D37392"/>
    <w:rsid w:val="00D40E9C"/>
    <w:rsid w:val="00D4159D"/>
    <w:rsid w:val="00D54606"/>
    <w:rsid w:val="00D632DE"/>
    <w:rsid w:val="00D64B3A"/>
    <w:rsid w:val="00D65334"/>
    <w:rsid w:val="00D71B69"/>
    <w:rsid w:val="00D72EDB"/>
    <w:rsid w:val="00D754D2"/>
    <w:rsid w:val="00D8246C"/>
    <w:rsid w:val="00D8642A"/>
    <w:rsid w:val="00D916F8"/>
    <w:rsid w:val="00D924C1"/>
    <w:rsid w:val="00D92D80"/>
    <w:rsid w:val="00D9474C"/>
    <w:rsid w:val="00D96196"/>
    <w:rsid w:val="00D96A42"/>
    <w:rsid w:val="00D97FA6"/>
    <w:rsid w:val="00DA6781"/>
    <w:rsid w:val="00DB0ED6"/>
    <w:rsid w:val="00DB2D65"/>
    <w:rsid w:val="00DB3701"/>
    <w:rsid w:val="00DB41DF"/>
    <w:rsid w:val="00DC0689"/>
    <w:rsid w:val="00DC1DA2"/>
    <w:rsid w:val="00DC32EC"/>
    <w:rsid w:val="00DC5FE9"/>
    <w:rsid w:val="00DC649F"/>
    <w:rsid w:val="00DD02B0"/>
    <w:rsid w:val="00DD0A15"/>
    <w:rsid w:val="00DD26A9"/>
    <w:rsid w:val="00DD31CC"/>
    <w:rsid w:val="00DD4BCE"/>
    <w:rsid w:val="00DD6D20"/>
    <w:rsid w:val="00DE0EBD"/>
    <w:rsid w:val="00DE2481"/>
    <w:rsid w:val="00DE2F29"/>
    <w:rsid w:val="00DE55E7"/>
    <w:rsid w:val="00DE61CE"/>
    <w:rsid w:val="00DF2C41"/>
    <w:rsid w:val="00DF746D"/>
    <w:rsid w:val="00E02D21"/>
    <w:rsid w:val="00E04019"/>
    <w:rsid w:val="00E046F3"/>
    <w:rsid w:val="00E04F9B"/>
    <w:rsid w:val="00E1000D"/>
    <w:rsid w:val="00E14892"/>
    <w:rsid w:val="00E150A3"/>
    <w:rsid w:val="00E21E88"/>
    <w:rsid w:val="00E242A5"/>
    <w:rsid w:val="00E26D6E"/>
    <w:rsid w:val="00E275F6"/>
    <w:rsid w:val="00E27F6F"/>
    <w:rsid w:val="00E3043C"/>
    <w:rsid w:val="00E319CE"/>
    <w:rsid w:val="00E35CAB"/>
    <w:rsid w:val="00E42844"/>
    <w:rsid w:val="00E43C31"/>
    <w:rsid w:val="00E44FE7"/>
    <w:rsid w:val="00E4648A"/>
    <w:rsid w:val="00E5176D"/>
    <w:rsid w:val="00E52380"/>
    <w:rsid w:val="00E53C67"/>
    <w:rsid w:val="00E71F54"/>
    <w:rsid w:val="00E723C2"/>
    <w:rsid w:val="00E72905"/>
    <w:rsid w:val="00E729B3"/>
    <w:rsid w:val="00E7723A"/>
    <w:rsid w:val="00E82C93"/>
    <w:rsid w:val="00E87A14"/>
    <w:rsid w:val="00E90863"/>
    <w:rsid w:val="00E96CDF"/>
    <w:rsid w:val="00EB609D"/>
    <w:rsid w:val="00EB74ED"/>
    <w:rsid w:val="00EC1176"/>
    <w:rsid w:val="00EC18B7"/>
    <w:rsid w:val="00EC365B"/>
    <w:rsid w:val="00EC4248"/>
    <w:rsid w:val="00ED2AAD"/>
    <w:rsid w:val="00ED4F7E"/>
    <w:rsid w:val="00ED6B77"/>
    <w:rsid w:val="00EE6667"/>
    <w:rsid w:val="00EF794F"/>
    <w:rsid w:val="00F0128E"/>
    <w:rsid w:val="00F02379"/>
    <w:rsid w:val="00F04601"/>
    <w:rsid w:val="00F0730F"/>
    <w:rsid w:val="00F1028B"/>
    <w:rsid w:val="00F133AD"/>
    <w:rsid w:val="00F15401"/>
    <w:rsid w:val="00F246CC"/>
    <w:rsid w:val="00F30017"/>
    <w:rsid w:val="00F310C7"/>
    <w:rsid w:val="00F34B69"/>
    <w:rsid w:val="00F40F54"/>
    <w:rsid w:val="00F412B3"/>
    <w:rsid w:val="00F4565E"/>
    <w:rsid w:val="00F561C6"/>
    <w:rsid w:val="00F60492"/>
    <w:rsid w:val="00F629FC"/>
    <w:rsid w:val="00F63A45"/>
    <w:rsid w:val="00F6415B"/>
    <w:rsid w:val="00F64F4D"/>
    <w:rsid w:val="00F75A42"/>
    <w:rsid w:val="00F75D7F"/>
    <w:rsid w:val="00F769F0"/>
    <w:rsid w:val="00F81739"/>
    <w:rsid w:val="00F8271C"/>
    <w:rsid w:val="00F827B2"/>
    <w:rsid w:val="00F85F64"/>
    <w:rsid w:val="00F86120"/>
    <w:rsid w:val="00F9473D"/>
    <w:rsid w:val="00F94E45"/>
    <w:rsid w:val="00F95FED"/>
    <w:rsid w:val="00FA0345"/>
    <w:rsid w:val="00FA2778"/>
    <w:rsid w:val="00FA2E86"/>
    <w:rsid w:val="00FB058D"/>
    <w:rsid w:val="00FB1855"/>
    <w:rsid w:val="00FB4178"/>
    <w:rsid w:val="00FB64CF"/>
    <w:rsid w:val="00FC5FB7"/>
    <w:rsid w:val="00FD0117"/>
    <w:rsid w:val="00FD0FB2"/>
    <w:rsid w:val="00FD1690"/>
    <w:rsid w:val="00FD1798"/>
    <w:rsid w:val="00FE2DE3"/>
    <w:rsid w:val="00FE7051"/>
    <w:rsid w:val="00FF0576"/>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uiPriority w:val="99"/>
    <w:semiHidden/>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Normalodsazen">
    <w:name w:val="Normal odsazený"/>
    <w:basedOn w:val="Normln"/>
    <w:qFormat/>
    <w:rsid w:val="001D6BC2"/>
    <w:pPr>
      <w:spacing w:line="360" w:lineRule="auto"/>
      <w:ind w:firstLine="567"/>
      <w:jc w:val="both"/>
    </w:pPr>
    <w:rPr>
      <w:rFonts w:ascii="Arial" w:eastAsia="Arial" w:hAnsi="Arial" w:cs="Arial"/>
      <w:sz w:val="22"/>
      <w:lang w:eastAsia="en-US"/>
    </w:rPr>
  </w:style>
  <w:style w:type="paragraph" w:customStyle="1" w:styleId="Default">
    <w:name w:val="Default"/>
    <w:rsid w:val="00351C9D"/>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uiPriority w:val="99"/>
    <w:semiHidden/>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Normalodsazen">
    <w:name w:val="Normal odsazený"/>
    <w:basedOn w:val="Normln"/>
    <w:qFormat/>
    <w:rsid w:val="001D6BC2"/>
    <w:pPr>
      <w:spacing w:line="360" w:lineRule="auto"/>
      <w:ind w:firstLine="567"/>
      <w:jc w:val="both"/>
    </w:pPr>
    <w:rPr>
      <w:rFonts w:ascii="Arial" w:eastAsia="Arial" w:hAnsi="Arial" w:cs="Arial"/>
      <w:sz w:val="22"/>
      <w:lang w:eastAsia="en-US"/>
    </w:rPr>
  </w:style>
  <w:style w:type="paragraph" w:customStyle="1" w:styleId="Default">
    <w:name w:val="Default"/>
    <w:rsid w:val="00351C9D"/>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249FC-9AB0-4501-879A-39FD46AEB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2147</Words>
  <Characters>12674</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2018-10-30T12:32:00Z</dcterms:created>
  <dcterms:modified xsi:type="dcterms:W3CDTF">2018-10-30T12:32:00Z</dcterms:modified>
</cp:coreProperties>
</file>